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950EE" w14:textId="77777777" w:rsidR="00412538" w:rsidRDefault="00933454">
      <w:pPr>
        <w:spacing w:after="120"/>
      </w:pPr>
      <w:r>
        <w:rPr>
          <w:noProof/>
        </w:rPr>
        <w:drawing>
          <wp:inline distT="0" distB="0" distL="0" distR="0" wp14:anchorId="7DD23D33" wp14:editId="0582BD19">
            <wp:extent cx="1512000" cy="571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512000" cy="571508"/>
                    </a:xfrm>
                    <a:prstGeom prst="rect">
                      <a:avLst/>
                    </a:prstGeom>
                  </pic:spPr>
                </pic:pic>
              </a:graphicData>
            </a:graphic>
          </wp:inline>
        </w:drawing>
      </w:r>
    </w:p>
    <w:p w14:paraId="56827774" w14:textId="77777777" w:rsidR="00412538" w:rsidRPr="00A003D3" w:rsidRDefault="00933454">
      <w:pPr>
        <w:spacing w:after="80"/>
        <w:jc w:val="center"/>
        <w:rPr>
          <w:lang w:val="fr-FR"/>
        </w:rPr>
      </w:pPr>
      <w:r w:rsidRPr="00A003D3">
        <w:rPr>
          <w:b/>
          <w:color w:val="277642"/>
          <w:sz w:val="26"/>
          <w:lang w:val="fr-FR"/>
        </w:rPr>
        <w:t>APPEL À CANDIDATURES</w:t>
      </w:r>
    </w:p>
    <w:p w14:paraId="662D716F" w14:textId="77777777" w:rsidR="00412538" w:rsidRPr="00A003D3" w:rsidRDefault="00933454">
      <w:pPr>
        <w:spacing w:after="80"/>
        <w:jc w:val="center"/>
        <w:rPr>
          <w:lang w:val="fr-FR"/>
        </w:rPr>
      </w:pPr>
      <w:r w:rsidRPr="00A003D3">
        <w:rPr>
          <w:b/>
          <w:color w:val="262626"/>
          <w:sz w:val="34"/>
          <w:lang w:val="fr-FR"/>
        </w:rPr>
        <w:t>Recrutement d’un(e) consultant(e), d’un groupement de consultant(e)s ou d’un cabinet pour l’élaboration de la stratégie de durabilité et du modèle économique de l’ATSR</w:t>
      </w:r>
    </w:p>
    <w:p w14:paraId="7865966C" w14:textId="77777777" w:rsidR="00412538" w:rsidRPr="00A003D3" w:rsidRDefault="00933454">
      <w:pPr>
        <w:spacing w:after="240"/>
        <w:jc w:val="center"/>
        <w:rPr>
          <w:lang w:val="fr-FR"/>
        </w:rPr>
      </w:pPr>
      <w:r w:rsidRPr="00A003D3">
        <w:rPr>
          <w:i/>
          <w:color w:val="5C5C5C"/>
          <w:lang w:val="fr-FR"/>
        </w:rPr>
        <w:t>Incluant la diversification des ressources, l’étude des activités génératrices de revenus et l’analyse de la faisabilité d’un modèle d’entreprise sociale</w:t>
      </w:r>
    </w:p>
    <w:tbl>
      <w:tblPr>
        <w:tblW w:w="0" w:type="auto"/>
        <w:jc w:val="center"/>
        <w:tblLayout w:type="fixed"/>
        <w:tblLook w:val="04A0" w:firstRow="1" w:lastRow="0" w:firstColumn="1" w:lastColumn="0" w:noHBand="0" w:noVBand="1"/>
      </w:tblPr>
      <w:tblGrid>
        <w:gridCol w:w="9746"/>
      </w:tblGrid>
      <w:tr w:rsidR="00412538" w:rsidRPr="00411F32" w14:paraId="3AD67793" w14:textId="77777777">
        <w:trPr>
          <w:tblHeader/>
          <w:jc w:val="center"/>
        </w:trPr>
        <w:tc>
          <w:tcPr>
            <w:tcW w:w="9746" w:type="dxa"/>
            <w:shd w:val="clear" w:color="auto" w:fill="EEF6F0"/>
            <w:tcMar>
              <w:top w:w="180" w:type="dxa"/>
              <w:left w:w="220" w:type="dxa"/>
              <w:bottom w:w="180" w:type="dxa"/>
              <w:right w:w="220" w:type="dxa"/>
            </w:tcMar>
          </w:tcPr>
          <w:p w14:paraId="6C48AB09" w14:textId="77777777" w:rsidR="00412538" w:rsidRPr="00A003D3" w:rsidRDefault="00933454">
            <w:pPr>
              <w:rPr>
                <w:lang w:val="fr-FR"/>
              </w:rPr>
            </w:pPr>
            <w:r w:rsidRPr="00A003D3">
              <w:rPr>
                <w:b/>
                <w:color w:val="277642"/>
                <w:lang w:val="fr-FR"/>
              </w:rPr>
              <w:t xml:space="preserve">Finalité de la mission : </w:t>
            </w:r>
            <w:r w:rsidRPr="00A003D3">
              <w:rPr>
                <w:lang w:val="fr-FR"/>
              </w:rPr>
              <w:t>doter l’ATSR d’une stratégie de durabilité réaliste et d’un modèle économique viable, compatible avec sa mission sociale, ses valeurs et son statut, et accompagné d’une feuille de route opérationnelle.</w:t>
            </w:r>
          </w:p>
        </w:tc>
      </w:tr>
    </w:tbl>
    <w:p w14:paraId="50B60D41" w14:textId="77777777" w:rsidR="00412538" w:rsidRPr="00A003D3" w:rsidRDefault="00412538">
      <w:pPr>
        <w:rPr>
          <w:lang w:val="fr-FR"/>
        </w:rPr>
      </w:pPr>
    </w:p>
    <w:p w14:paraId="7327620F" w14:textId="77777777" w:rsidR="00412538" w:rsidRPr="00A003D3" w:rsidRDefault="00933454">
      <w:pPr>
        <w:pStyle w:val="Titre1"/>
        <w:rPr>
          <w:lang w:val="fr-FR"/>
        </w:rPr>
      </w:pPr>
      <w:r w:rsidRPr="00A003D3">
        <w:rPr>
          <w:lang w:val="fr-FR"/>
        </w:rPr>
        <w:t>1. Contexte et justification</w:t>
      </w:r>
    </w:p>
    <w:p w14:paraId="48E9C56C" w14:textId="77777777" w:rsidR="00412538" w:rsidRPr="00A003D3" w:rsidRDefault="00933454">
      <w:pPr>
        <w:jc w:val="both"/>
        <w:rPr>
          <w:lang w:val="fr-FR"/>
        </w:rPr>
      </w:pPr>
      <w:r w:rsidRPr="00A003D3">
        <w:rPr>
          <w:lang w:val="fr-FR"/>
        </w:rPr>
        <w:t>L’Association Tunisienne de la Santé de la Reproduction (ATSR) est une organisation non gouvernementale tunisienne active depuis plusieurs décennies dans le domaine de la santé et des droits sexuels et reproductifs. À travers ses programmes, l’Association œuvre notamment pour l’amélioration de l’accès à l’information, à l’éducation et aux services de santé sexuelle et reproductive, en particulier au profit des jeunes et des populations en situation de vulnérabilité.</w:t>
      </w:r>
    </w:p>
    <w:p w14:paraId="4B479055" w14:textId="77777777" w:rsidR="00412538" w:rsidRPr="00A003D3" w:rsidRDefault="00933454">
      <w:pPr>
        <w:jc w:val="both"/>
        <w:rPr>
          <w:lang w:val="fr-FR"/>
        </w:rPr>
      </w:pPr>
      <w:r w:rsidRPr="00A003D3">
        <w:rPr>
          <w:lang w:val="fr-FR"/>
        </w:rPr>
        <w:t>Dans un contexte marqué par l’évolution des priorités et des modalités de financement des organisations de la société civile, la nécessité de diversifier les sources de financement et l’importance de renforcer l’autonomie et la résilience des associations, l’ATSR souhaite engager une réflexion structurée sur sa durabilité institutionnelle, programmatique et financière à moyen et long terme.</w:t>
      </w:r>
    </w:p>
    <w:p w14:paraId="1378ED64" w14:textId="77777777" w:rsidR="00412538" w:rsidRPr="00A003D3" w:rsidRDefault="00933454">
      <w:pPr>
        <w:jc w:val="both"/>
        <w:rPr>
          <w:lang w:val="fr-FR"/>
        </w:rPr>
      </w:pPr>
      <w:r w:rsidRPr="00A003D3">
        <w:rPr>
          <w:lang w:val="fr-FR"/>
        </w:rPr>
        <w:t>L’Association dispose d’atouts significatifs susceptibles de contribuer à sa pérennité : expertise technique, expérience institutionnelle, ressources humaines, centres et implantations régionales, réseaux de partenaires, capacité de formation et d’accompagnement, ainsi qu’une reconnaissance dans ses domaines d’intervention. L’ATSR souhaite analyser comment ces atouts peuvent être consolidés et, lorsque cela est pertinent, valorisés afin de contribuer à un modèle plus diversifié et plus durable de financemen</w:t>
      </w:r>
      <w:r w:rsidRPr="00A003D3">
        <w:rPr>
          <w:lang w:val="fr-FR"/>
        </w:rPr>
        <w:t>t de sa mission.</w:t>
      </w:r>
    </w:p>
    <w:p w14:paraId="2137C702" w14:textId="77777777" w:rsidR="00412538" w:rsidRPr="00A003D3" w:rsidRDefault="00933454">
      <w:pPr>
        <w:jc w:val="both"/>
        <w:rPr>
          <w:lang w:val="fr-FR"/>
        </w:rPr>
      </w:pPr>
      <w:r w:rsidRPr="00A003D3">
        <w:rPr>
          <w:lang w:val="fr-FR"/>
        </w:rPr>
        <w:t>La présente consultation s’inscrit dans cette démarche globale. Elle ne présuppose pas la création d’une entreprise sociale. Cette option devra être analysée, comparée à d’autres mécanismes de diversification des ressources et retenue uniquement si sa pertinence et sa faisabilité sont démontrées.</w:t>
      </w:r>
    </w:p>
    <w:p w14:paraId="73DA5B9C" w14:textId="77777777" w:rsidR="00412538" w:rsidRPr="00A003D3" w:rsidRDefault="00933454">
      <w:pPr>
        <w:pStyle w:val="Titre1"/>
        <w:rPr>
          <w:lang w:val="fr-FR"/>
        </w:rPr>
      </w:pPr>
      <w:r w:rsidRPr="00A003D3">
        <w:rPr>
          <w:lang w:val="fr-FR"/>
        </w:rPr>
        <w:t>2. Objectif général de la mission</w:t>
      </w:r>
    </w:p>
    <w:p w14:paraId="1AF95F3E" w14:textId="77777777" w:rsidR="00412538" w:rsidRPr="00A003D3" w:rsidRDefault="00933454">
      <w:pPr>
        <w:jc w:val="both"/>
        <w:rPr>
          <w:lang w:val="fr-FR"/>
        </w:rPr>
      </w:pPr>
      <w:r w:rsidRPr="00A003D3">
        <w:rPr>
          <w:lang w:val="fr-FR"/>
        </w:rPr>
        <w:t>La mission a pour objectif général d’accompagner l’ATSR dans l’élaboration d’une stratégie globale de durabilité institutionnelle et financière et d’un modèle économique viable, lui permettant de renforcer sa résilience, de diversifier progressivement ses ressources et de garantir la continuité et l’impact de sa mission sociale.</w:t>
      </w:r>
    </w:p>
    <w:p w14:paraId="6BC792D4" w14:textId="77777777" w:rsidR="00412538" w:rsidRPr="00A003D3" w:rsidRDefault="00933454">
      <w:pPr>
        <w:jc w:val="both"/>
        <w:rPr>
          <w:lang w:val="fr-FR"/>
        </w:rPr>
      </w:pPr>
      <w:r w:rsidRPr="00A003D3">
        <w:rPr>
          <w:lang w:val="fr-FR"/>
        </w:rPr>
        <w:t>La mission devra aboutir à des orientations stratégiques mais également à des options économiques réalistes, comparées, chiffrées et opérationnelles, accompagnées d’une feuille de route de mise en œuvre.</w:t>
      </w:r>
    </w:p>
    <w:p w14:paraId="6258CFE4" w14:textId="77777777" w:rsidR="00412538" w:rsidRDefault="00933454">
      <w:pPr>
        <w:pStyle w:val="Titre1"/>
      </w:pPr>
      <w:r>
        <w:lastRenderedPageBreak/>
        <w:t>3. Objectifs spécifiques</w:t>
      </w:r>
    </w:p>
    <w:p w14:paraId="042C47DB" w14:textId="77777777" w:rsidR="00412538" w:rsidRPr="00A003D3" w:rsidRDefault="00933454">
      <w:pPr>
        <w:pStyle w:val="Listepuces"/>
        <w:spacing w:after="50"/>
        <w:rPr>
          <w:lang w:val="fr-FR"/>
        </w:rPr>
      </w:pPr>
      <w:r w:rsidRPr="00A003D3">
        <w:rPr>
          <w:sz w:val="20"/>
          <w:lang w:val="fr-FR"/>
        </w:rPr>
        <w:t>Réaliser un diagnostic de la situation institutionnelle, organisationnelle, programmatique et financière de l’ATSR.</w:t>
      </w:r>
    </w:p>
    <w:p w14:paraId="31CD50DC" w14:textId="77777777" w:rsidR="00412538" w:rsidRPr="00A003D3" w:rsidRDefault="00933454">
      <w:pPr>
        <w:pStyle w:val="Listepuces"/>
        <w:spacing w:after="50"/>
        <w:rPr>
          <w:lang w:val="fr-FR"/>
        </w:rPr>
      </w:pPr>
      <w:r w:rsidRPr="00A003D3">
        <w:rPr>
          <w:sz w:val="20"/>
          <w:lang w:val="fr-FR"/>
        </w:rPr>
        <w:t>Analyser les sources actuelles de financement, la structure des coûts et les principaux facteurs de vulnérabilité ou de dépendance.</w:t>
      </w:r>
    </w:p>
    <w:p w14:paraId="2CA3D985" w14:textId="77777777" w:rsidR="00412538" w:rsidRPr="00A003D3" w:rsidRDefault="00933454">
      <w:pPr>
        <w:pStyle w:val="Listepuces"/>
        <w:spacing w:after="50"/>
        <w:rPr>
          <w:lang w:val="fr-FR"/>
        </w:rPr>
      </w:pPr>
      <w:r w:rsidRPr="00A003D3">
        <w:rPr>
          <w:sz w:val="20"/>
          <w:lang w:val="fr-FR"/>
        </w:rPr>
        <w:t>Identifier les actifs, expertises, services, infrastructures, réseaux et avantages comparatifs susceptibles de contribuer à la durabilité de l’Association.</w:t>
      </w:r>
    </w:p>
    <w:p w14:paraId="24DC95BD" w14:textId="77777777" w:rsidR="00412538" w:rsidRPr="00A003D3" w:rsidRDefault="00933454">
      <w:pPr>
        <w:pStyle w:val="Listepuces"/>
        <w:spacing w:after="50"/>
        <w:rPr>
          <w:lang w:val="fr-FR"/>
        </w:rPr>
      </w:pPr>
      <w:r w:rsidRPr="00A003D3">
        <w:rPr>
          <w:sz w:val="20"/>
          <w:lang w:val="fr-FR"/>
        </w:rPr>
        <w:t>Identifier et évaluer différentes options de diversification des ressources et de génération de revenus compatibles avec la mission et les valeurs de l’ATSR.</w:t>
      </w:r>
    </w:p>
    <w:p w14:paraId="3D694602" w14:textId="77777777" w:rsidR="00412538" w:rsidRPr="00A003D3" w:rsidRDefault="00933454">
      <w:pPr>
        <w:pStyle w:val="Listepuces"/>
        <w:spacing w:after="50"/>
        <w:rPr>
          <w:lang w:val="fr-FR"/>
        </w:rPr>
      </w:pPr>
      <w:r w:rsidRPr="00A003D3">
        <w:rPr>
          <w:sz w:val="20"/>
          <w:lang w:val="fr-FR"/>
        </w:rPr>
        <w:t>Construire plusieurs scénarios de modèle économique et en analyser la faisabilité, les risques, les investissements nécessaires et les revenus potentiels.</w:t>
      </w:r>
    </w:p>
    <w:p w14:paraId="0AAF861C" w14:textId="77777777" w:rsidR="00412538" w:rsidRPr="00A003D3" w:rsidRDefault="00933454">
      <w:pPr>
        <w:pStyle w:val="Listepuces"/>
        <w:spacing w:after="50"/>
        <w:rPr>
          <w:lang w:val="fr-FR"/>
        </w:rPr>
      </w:pPr>
      <w:r w:rsidRPr="00A003D3">
        <w:rPr>
          <w:sz w:val="20"/>
          <w:lang w:val="fr-FR"/>
        </w:rPr>
        <w:t>Évaluer, parmi les options possibles, la faisabilité juridique, fiscale, économique et opérationnelle d’un modèle d’entreprise sociale ou de toute autre structure adaptée.</w:t>
      </w:r>
    </w:p>
    <w:p w14:paraId="0AB88950" w14:textId="77777777" w:rsidR="00412538" w:rsidRPr="00A003D3" w:rsidRDefault="00933454">
      <w:pPr>
        <w:pStyle w:val="Listepuces"/>
        <w:spacing w:after="50"/>
        <w:rPr>
          <w:lang w:val="fr-FR"/>
        </w:rPr>
      </w:pPr>
      <w:r w:rsidRPr="00A003D3">
        <w:rPr>
          <w:sz w:val="20"/>
          <w:lang w:val="fr-FR"/>
        </w:rPr>
        <w:t>Élaborer une stratégie de mobilisation et de diversification des ressources.</w:t>
      </w:r>
    </w:p>
    <w:p w14:paraId="64786AD2" w14:textId="77777777" w:rsidR="00412538" w:rsidRPr="00A003D3" w:rsidRDefault="00933454">
      <w:pPr>
        <w:pStyle w:val="Listepuces"/>
        <w:spacing w:after="50"/>
        <w:rPr>
          <w:lang w:val="fr-FR"/>
        </w:rPr>
      </w:pPr>
      <w:r w:rsidRPr="00A003D3">
        <w:rPr>
          <w:sz w:val="20"/>
          <w:lang w:val="fr-FR"/>
        </w:rPr>
        <w:t>Produire des projections financières permettant d’apprécier la viabilité des options recommandées.</w:t>
      </w:r>
    </w:p>
    <w:p w14:paraId="7AA6F34C" w14:textId="77777777" w:rsidR="00412538" w:rsidRPr="00A003D3" w:rsidRDefault="00933454">
      <w:pPr>
        <w:pStyle w:val="Listepuces"/>
        <w:spacing w:after="50"/>
        <w:rPr>
          <w:lang w:val="fr-FR"/>
        </w:rPr>
      </w:pPr>
      <w:r w:rsidRPr="00A003D3">
        <w:rPr>
          <w:sz w:val="20"/>
          <w:lang w:val="fr-FR"/>
        </w:rPr>
        <w:t>Définir une feuille de route opérationnelle pour la mise en œuvre progressive de la stratégie de durabilité.</w:t>
      </w:r>
    </w:p>
    <w:p w14:paraId="71D091DC" w14:textId="77777777" w:rsidR="00412538" w:rsidRPr="00A003D3" w:rsidRDefault="00933454">
      <w:pPr>
        <w:pStyle w:val="Listepuces"/>
        <w:spacing w:after="50"/>
        <w:rPr>
          <w:lang w:val="fr-FR"/>
        </w:rPr>
      </w:pPr>
      <w:r w:rsidRPr="00A003D3">
        <w:rPr>
          <w:sz w:val="20"/>
          <w:lang w:val="fr-FR"/>
        </w:rPr>
        <w:t>Renforcer les capacités du personnel et des jeunes impliqués dans les initiatives de l’ATSR en matière de mobilisation, gestion et diversification des ressources.</w:t>
      </w:r>
    </w:p>
    <w:p w14:paraId="69788A73" w14:textId="77777777" w:rsidR="00412538" w:rsidRPr="00A003D3" w:rsidRDefault="00933454">
      <w:pPr>
        <w:pStyle w:val="Titre1"/>
        <w:rPr>
          <w:lang w:val="fr-FR"/>
        </w:rPr>
      </w:pPr>
      <w:r w:rsidRPr="00A003D3">
        <w:rPr>
          <w:lang w:val="fr-FR"/>
        </w:rPr>
        <w:t>4. Étendue de la mission</w:t>
      </w:r>
    </w:p>
    <w:p w14:paraId="50643C69" w14:textId="77777777" w:rsidR="00412538" w:rsidRPr="00A003D3" w:rsidRDefault="00933454">
      <w:pPr>
        <w:pStyle w:val="Titre2"/>
        <w:rPr>
          <w:lang w:val="fr-FR"/>
        </w:rPr>
      </w:pPr>
      <w:r w:rsidRPr="00A003D3">
        <w:rPr>
          <w:lang w:val="fr-FR"/>
        </w:rPr>
        <w:t>4.1. Diagnostic de la durabilité actuelle de l’ATSR</w:t>
      </w:r>
    </w:p>
    <w:p w14:paraId="306E71CB" w14:textId="77777777" w:rsidR="00412538" w:rsidRPr="00A003D3" w:rsidRDefault="00933454">
      <w:pPr>
        <w:pStyle w:val="Listepuces"/>
        <w:spacing w:after="50"/>
        <w:rPr>
          <w:lang w:val="fr-FR"/>
        </w:rPr>
      </w:pPr>
      <w:r w:rsidRPr="00A003D3">
        <w:rPr>
          <w:sz w:val="20"/>
          <w:lang w:val="fr-FR"/>
        </w:rPr>
        <w:t>Analyser le modèle institutionnel, organisationnel et programmatique de l’Association.</w:t>
      </w:r>
    </w:p>
    <w:p w14:paraId="181056EF" w14:textId="77777777" w:rsidR="00412538" w:rsidRPr="00A003D3" w:rsidRDefault="00933454">
      <w:pPr>
        <w:pStyle w:val="Listepuces"/>
        <w:spacing w:after="50"/>
        <w:rPr>
          <w:lang w:val="fr-FR"/>
        </w:rPr>
      </w:pPr>
      <w:r w:rsidRPr="00A003D3">
        <w:rPr>
          <w:sz w:val="20"/>
          <w:lang w:val="fr-FR"/>
        </w:rPr>
        <w:t>Analyser l’évolution des principales sources de financement et le niveau de dépendance à l’égard des partenaires et projets.</w:t>
      </w:r>
    </w:p>
    <w:p w14:paraId="45E3CEAA" w14:textId="77777777" w:rsidR="00412538" w:rsidRPr="00A003D3" w:rsidRDefault="00933454">
      <w:pPr>
        <w:pStyle w:val="Listepuces"/>
        <w:spacing w:after="50"/>
        <w:rPr>
          <w:lang w:val="fr-FR"/>
        </w:rPr>
      </w:pPr>
      <w:r w:rsidRPr="00A003D3">
        <w:rPr>
          <w:sz w:val="20"/>
          <w:lang w:val="fr-FR"/>
        </w:rPr>
        <w:t>Analyser la structure des coûts, les charges fixes et les coûts structurels indispensables au fonctionnement de l’ATSR.</w:t>
      </w:r>
    </w:p>
    <w:p w14:paraId="4F7C204E" w14:textId="77777777" w:rsidR="00412538" w:rsidRPr="00A003D3" w:rsidRDefault="00933454">
      <w:pPr>
        <w:pStyle w:val="Listepuces"/>
        <w:spacing w:after="50"/>
        <w:rPr>
          <w:lang w:val="fr-FR"/>
        </w:rPr>
      </w:pPr>
      <w:r w:rsidRPr="00A003D3">
        <w:rPr>
          <w:sz w:val="20"/>
          <w:lang w:val="fr-FR"/>
        </w:rPr>
        <w:t>Identifier les forces, faiblesses, opportunités et risques influençant la durabilité de l’Association.</w:t>
      </w:r>
    </w:p>
    <w:p w14:paraId="67F0344A" w14:textId="77777777" w:rsidR="00412538" w:rsidRPr="00A003D3" w:rsidRDefault="00933454">
      <w:pPr>
        <w:pStyle w:val="Listepuces"/>
        <w:spacing w:after="50"/>
        <w:rPr>
          <w:lang w:val="fr-FR"/>
        </w:rPr>
      </w:pPr>
      <w:r w:rsidRPr="00A003D3">
        <w:rPr>
          <w:sz w:val="20"/>
          <w:lang w:val="fr-FR"/>
        </w:rPr>
        <w:t>Cartographier les ressources, compétences, infrastructures, centres, implantations régionales, partenariats et autres actifs mobilisables.</w:t>
      </w:r>
    </w:p>
    <w:p w14:paraId="0512E090" w14:textId="77777777" w:rsidR="00412538" w:rsidRPr="00A003D3" w:rsidRDefault="00933454">
      <w:pPr>
        <w:pStyle w:val="Listepuces"/>
        <w:spacing w:after="50"/>
        <w:rPr>
          <w:lang w:val="fr-FR"/>
        </w:rPr>
      </w:pPr>
      <w:r w:rsidRPr="00A003D3">
        <w:rPr>
          <w:sz w:val="20"/>
          <w:lang w:val="fr-FR"/>
        </w:rPr>
        <w:t>Évaluer les capacités internes de mobilisation des ressources, de développement de partenariats et de gestion de nouvelles activités.</w:t>
      </w:r>
    </w:p>
    <w:p w14:paraId="403DBA72" w14:textId="77777777" w:rsidR="00412538" w:rsidRPr="00A003D3" w:rsidRDefault="00933454">
      <w:pPr>
        <w:pStyle w:val="Titre2"/>
        <w:rPr>
          <w:lang w:val="fr-FR"/>
        </w:rPr>
      </w:pPr>
      <w:r w:rsidRPr="00A003D3">
        <w:rPr>
          <w:lang w:val="fr-FR"/>
        </w:rPr>
        <w:t>4.2. Diversification des ressources</w:t>
      </w:r>
    </w:p>
    <w:p w14:paraId="1B2681DB" w14:textId="77777777" w:rsidR="00412538" w:rsidRPr="00A003D3" w:rsidRDefault="00933454">
      <w:pPr>
        <w:jc w:val="both"/>
        <w:rPr>
          <w:lang w:val="fr-FR"/>
        </w:rPr>
      </w:pPr>
      <w:r w:rsidRPr="00A003D3">
        <w:rPr>
          <w:lang w:val="fr-FR"/>
        </w:rPr>
        <w:t>Le/la consultant(e) analysera différentes pistes de financement et de génération de revenus, en appréciant pour chacune leur faisabilité, leur potentiel financier, leur cohérence avec la mission de l’ATSR, les ressources nécessaires et les principaux risques.</w:t>
      </w:r>
    </w:p>
    <w:p w14:paraId="2F506B40" w14:textId="77777777" w:rsidR="00412538" w:rsidRPr="00A003D3" w:rsidRDefault="00933454">
      <w:pPr>
        <w:pStyle w:val="Listepuces"/>
        <w:spacing w:after="50"/>
        <w:rPr>
          <w:lang w:val="fr-FR"/>
        </w:rPr>
      </w:pPr>
      <w:r w:rsidRPr="00A003D3">
        <w:rPr>
          <w:sz w:val="20"/>
          <w:lang w:val="fr-FR"/>
        </w:rPr>
        <w:t>Financements institutionnels nationaux et internationaux et partenariats techniques et financiers.</w:t>
      </w:r>
    </w:p>
    <w:p w14:paraId="3B2F5509" w14:textId="77777777" w:rsidR="00412538" w:rsidRPr="00A003D3" w:rsidRDefault="00933454">
      <w:pPr>
        <w:pStyle w:val="Listepuces"/>
        <w:spacing w:after="50"/>
        <w:rPr>
          <w:lang w:val="fr-FR"/>
        </w:rPr>
      </w:pPr>
      <w:r w:rsidRPr="00A003D3">
        <w:rPr>
          <w:sz w:val="20"/>
          <w:lang w:val="fr-FR"/>
        </w:rPr>
        <w:t>Partenariats avec le secteur privé, responsabilité sociétale des entreprises, mécénat et philanthropie.</w:t>
      </w:r>
    </w:p>
    <w:p w14:paraId="21DE0B7E" w14:textId="77777777" w:rsidR="00412538" w:rsidRPr="00A003D3" w:rsidRDefault="00933454">
      <w:pPr>
        <w:pStyle w:val="Listepuces"/>
        <w:spacing w:after="50"/>
        <w:rPr>
          <w:lang w:val="fr-FR"/>
        </w:rPr>
      </w:pPr>
      <w:r w:rsidRPr="00A003D3">
        <w:rPr>
          <w:sz w:val="20"/>
          <w:lang w:val="fr-FR"/>
        </w:rPr>
        <w:t>Appels d’offres, prestations d’expertise, études, recherches, évaluations et accompagnement technique.</w:t>
      </w:r>
    </w:p>
    <w:p w14:paraId="5E6BB6B7" w14:textId="77777777" w:rsidR="00412538" w:rsidRPr="00A003D3" w:rsidRDefault="00933454">
      <w:pPr>
        <w:pStyle w:val="Listepuces"/>
        <w:spacing w:after="50"/>
        <w:rPr>
          <w:lang w:val="fr-FR"/>
        </w:rPr>
      </w:pPr>
      <w:r w:rsidRPr="00A003D3">
        <w:rPr>
          <w:sz w:val="20"/>
          <w:lang w:val="fr-FR"/>
        </w:rPr>
        <w:t>Formations et activités de renforcement des capacités.</w:t>
      </w:r>
    </w:p>
    <w:p w14:paraId="654D716E" w14:textId="77777777" w:rsidR="00412538" w:rsidRPr="00A003D3" w:rsidRDefault="00933454">
      <w:pPr>
        <w:pStyle w:val="Listepuces"/>
        <w:spacing w:after="50"/>
        <w:rPr>
          <w:lang w:val="fr-FR"/>
        </w:rPr>
      </w:pPr>
      <w:r w:rsidRPr="00A003D3">
        <w:rPr>
          <w:sz w:val="20"/>
          <w:lang w:val="fr-FR"/>
        </w:rPr>
        <w:t>Services pouvant être développés ou valorisés par les centres et structures de l’ATSR.</w:t>
      </w:r>
    </w:p>
    <w:p w14:paraId="670578D4" w14:textId="77777777" w:rsidR="00412538" w:rsidRPr="00A003D3" w:rsidRDefault="00933454">
      <w:pPr>
        <w:pStyle w:val="Listepuces"/>
        <w:spacing w:after="50"/>
        <w:rPr>
          <w:lang w:val="fr-FR"/>
        </w:rPr>
      </w:pPr>
      <w:r w:rsidRPr="00A003D3">
        <w:rPr>
          <w:sz w:val="20"/>
          <w:lang w:val="fr-FR"/>
        </w:rPr>
        <w:t>Valorisation éventuelle des infrastructures, équipements et autres actifs disponibles.</w:t>
      </w:r>
    </w:p>
    <w:p w14:paraId="57F93E1F" w14:textId="77777777" w:rsidR="00412538" w:rsidRPr="00A003D3" w:rsidRDefault="00933454">
      <w:pPr>
        <w:pStyle w:val="Listepuces"/>
        <w:spacing w:after="50"/>
        <w:rPr>
          <w:lang w:val="fr-FR"/>
        </w:rPr>
      </w:pPr>
      <w:r w:rsidRPr="00A003D3">
        <w:rPr>
          <w:sz w:val="20"/>
          <w:lang w:val="fr-FR"/>
        </w:rPr>
        <w:t>Adhésions, dons individuels, campagnes de collecte de fonds, crowdfunding ou autres mécanismes numériques lorsque pertinents.</w:t>
      </w:r>
    </w:p>
    <w:p w14:paraId="0FD114B0" w14:textId="77777777" w:rsidR="00412538" w:rsidRPr="00A003D3" w:rsidRDefault="00933454">
      <w:pPr>
        <w:pStyle w:val="Listepuces"/>
        <w:spacing w:after="50"/>
        <w:rPr>
          <w:lang w:val="fr-FR"/>
        </w:rPr>
      </w:pPr>
      <w:r w:rsidRPr="00A003D3">
        <w:rPr>
          <w:sz w:val="20"/>
          <w:lang w:val="fr-FR"/>
        </w:rPr>
        <w:t>Activités génératrices de revenus et entrepreneuriat social.</w:t>
      </w:r>
    </w:p>
    <w:p w14:paraId="63136D37" w14:textId="77777777" w:rsidR="00412538" w:rsidRPr="00A003D3" w:rsidRDefault="00933454">
      <w:pPr>
        <w:pStyle w:val="Titre2"/>
        <w:rPr>
          <w:lang w:val="fr-FR"/>
        </w:rPr>
      </w:pPr>
      <w:r w:rsidRPr="00A003D3">
        <w:rPr>
          <w:lang w:val="fr-FR"/>
        </w:rPr>
        <w:lastRenderedPageBreak/>
        <w:t>4.3. Développement du modèle économique</w:t>
      </w:r>
    </w:p>
    <w:p w14:paraId="7B51C98B" w14:textId="77777777" w:rsidR="00412538" w:rsidRDefault="00933454">
      <w:pPr>
        <w:jc w:val="both"/>
      </w:pPr>
      <w:r w:rsidRPr="00A003D3">
        <w:rPr>
          <w:lang w:val="fr-FR"/>
        </w:rPr>
        <w:t xml:space="preserve">Le/la consultant(e) devra élaborer plusieurs scénarios de modèle économique adaptés aux capacités de l’ATSR. </w:t>
      </w:r>
      <w:r>
        <w:t xml:space="preserve">Les </w:t>
      </w:r>
      <w:proofErr w:type="spellStart"/>
      <w:r>
        <w:t>scénarios</w:t>
      </w:r>
      <w:proofErr w:type="spellEnd"/>
      <w:r>
        <w:t xml:space="preserve"> </w:t>
      </w:r>
      <w:proofErr w:type="spellStart"/>
      <w:r>
        <w:t>devront</w:t>
      </w:r>
      <w:proofErr w:type="spellEnd"/>
      <w:r>
        <w:t xml:space="preserve"> </w:t>
      </w:r>
      <w:proofErr w:type="spellStart"/>
      <w:r>
        <w:t>préciser</w:t>
      </w:r>
      <w:proofErr w:type="spellEnd"/>
      <w:r>
        <w:t xml:space="preserve"> au minimum :</w:t>
      </w:r>
    </w:p>
    <w:p w14:paraId="0BADCF49"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propositions de valeur et domaines d’expertise pouvant être valorisés ;</w:t>
      </w:r>
    </w:p>
    <w:p w14:paraId="25F5EBAD"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bénéficiaires, clients, partenaires ou segments potentiels ;</w:t>
      </w:r>
    </w:p>
    <w:p w14:paraId="665F229D"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services devant rester gratuits ou subventionnés et ceux pouvant être partiellement ou totalement facturés ;</w:t>
      </w:r>
    </w:p>
    <w:p w14:paraId="6ABFC7E9"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sources de revenus et les principaux postes de coûts ;</w:t>
      </w:r>
    </w:p>
    <w:p w14:paraId="5A651E8B"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ressources humaines, compétences et investissements requis ;</w:t>
      </w:r>
    </w:p>
    <w:p w14:paraId="74519FB9" w14:textId="77777777" w:rsidR="00412538" w:rsidRDefault="00933454">
      <w:pPr>
        <w:pStyle w:val="Listepuces"/>
        <w:spacing w:after="50"/>
      </w:pPr>
      <w:r>
        <w:rPr>
          <w:sz w:val="20"/>
        </w:rPr>
        <w:t xml:space="preserve">les </w:t>
      </w:r>
      <w:proofErr w:type="spellStart"/>
      <w:r>
        <w:rPr>
          <w:sz w:val="20"/>
        </w:rPr>
        <w:t>partenariats</w:t>
      </w:r>
      <w:proofErr w:type="spellEnd"/>
      <w:r>
        <w:rPr>
          <w:sz w:val="20"/>
        </w:rPr>
        <w:t xml:space="preserve"> </w:t>
      </w:r>
      <w:proofErr w:type="spellStart"/>
      <w:r>
        <w:rPr>
          <w:sz w:val="20"/>
        </w:rPr>
        <w:t>stratégiques</w:t>
      </w:r>
      <w:proofErr w:type="spellEnd"/>
      <w:r>
        <w:rPr>
          <w:sz w:val="20"/>
        </w:rPr>
        <w:t xml:space="preserve"> </w:t>
      </w:r>
      <w:proofErr w:type="spellStart"/>
      <w:proofErr w:type="gramStart"/>
      <w:r>
        <w:rPr>
          <w:sz w:val="20"/>
        </w:rPr>
        <w:t>nécessaires</w:t>
      </w:r>
      <w:proofErr w:type="spellEnd"/>
      <w:r>
        <w:rPr>
          <w:sz w:val="20"/>
        </w:rPr>
        <w:t xml:space="preserve"> ;</w:t>
      </w:r>
      <w:proofErr w:type="gramEnd"/>
    </w:p>
    <w:p w14:paraId="7A696541"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mécanismes permettant de préserver la mission sociale et l’accessibilité des services ;</w:t>
      </w:r>
    </w:p>
    <w:p w14:paraId="385E61EE"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modalités de gouvernance, de pilotage et de suivi.</w:t>
      </w:r>
    </w:p>
    <w:p w14:paraId="17DFAFEB" w14:textId="77777777" w:rsidR="00412538" w:rsidRPr="00A003D3" w:rsidRDefault="00933454">
      <w:pPr>
        <w:jc w:val="both"/>
        <w:rPr>
          <w:lang w:val="fr-FR"/>
        </w:rPr>
      </w:pPr>
      <w:r w:rsidRPr="00A003D3">
        <w:rPr>
          <w:lang w:val="fr-FR"/>
        </w:rPr>
        <w:t>Il est attendu que soient proposés, dans la mesure du possible, un scénario prudent, un scénario intermédiaire et un scénario de développement renforcé. Les scénarios devront être comparés sur la base de critères objectifs afin de faciliter la décision de l’ATSR.</w:t>
      </w:r>
    </w:p>
    <w:p w14:paraId="7B6C96A5" w14:textId="77777777" w:rsidR="00412538" w:rsidRPr="00A003D3" w:rsidRDefault="00933454">
      <w:pPr>
        <w:pStyle w:val="Titre2"/>
        <w:rPr>
          <w:lang w:val="fr-FR"/>
        </w:rPr>
      </w:pPr>
      <w:r w:rsidRPr="00A003D3">
        <w:rPr>
          <w:lang w:val="fr-FR"/>
        </w:rPr>
        <w:t>4.4. Étude de faisabilité des activités génératrices de revenus et de l’entreprise sociale</w:t>
      </w:r>
    </w:p>
    <w:p w14:paraId="0FDC34B3" w14:textId="77777777" w:rsidR="00412538" w:rsidRPr="00A003D3" w:rsidRDefault="00933454">
      <w:pPr>
        <w:jc w:val="both"/>
        <w:rPr>
          <w:lang w:val="fr-FR"/>
        </w:rPr>
      </w:pPr>
      <w:r w:rsidRPr="00A003D3">
        <w:rPr>
          <w:lang w:val="fr-FR"/>
        </w:rPr>
        <w:t>L’entreprise sociale constituera une option à analyser dans le cadre de la mission, sans préjuger de sa pertinence finale. Pour les options présentant un potentiel, l’étude devra notamment couvrir :</w:t>
      </w:r>
    </w:p>
    <w:p w14:paraId="0DDE7B24" w14:textId="77777777" w:rsidR="00412538" w:rsidRPr="00A003D3" w:rsidRDefault="00933454">
      <w:pPr>
        <w:pStyle w:val="Listepuces"/>
        <w:spacing w:after="50"/>
        <w:rPr>
          <w:lang w:val="fr-FR"/>
        </w:rPr>
      </w:pPr>
      <w:proofErr w:type="gramStart"/>
      <w:r w:rsidRPr="00A003D3">
        <w:rPr>
          <w:sz w:val="20"/>
          <w:lang w:val="fr-FR"/>
        </w:rPr>
        <w:t>l’analyse</w:t>
      </w:r>
      <w:proofErr w:type="gramEnd"/>
      <w:r w:rsidRPr="00A003D3">
        <w:rPr>
          <w:sz w:val="20"/>
          <w:lang w:val="fr-FR"/>
        </w:rPr>
        <w:t xml:space="preserve"> de la demande et des bénéficiaires ou clients potentiels ;</w:t>
      </w:r>
    </w:p>
    <w:p w14:paraId="2B26CBD4" w14:textId="67A6141E" w:rsidR="00412538" w:rsidRDefault="00933454">
      <w:pPr>
        <w:pStyle w:val="Listepuces"/>
        <w:spacing w:after="50"/>
      </w:pPr>
      <w:proofErr w:type="spellStart"/>
      <w:r>
        <w:rPr>
          <w:sz w:val="20"/>
        </w:rPr>
        <w:t>l’analyse</w:t>
      </w:r>
      <w:proofErr w:type="spellEnd"/>
      <w:r>
        <w:rPr>
          <w:sz w:val="20"/>
        </w:rPr>
        <w:t xml:space="preserve"> de </w:t>
      </w:r>
      <w:proofErr w:type="spellStart"/>
      <w:r>
        <w:rPr>
          <w:sz w:val="20"/>
        </w:rPr>
        <w:t>l’offre</w:t>
      </w:r>
      <w:proofErr w:type="spellEnd"/>
      <w:r>
        <w:rPr>
          <w:sz w:val="20"/>
        </w:rPr>
        <w:t xml:space="preserve"> </w:t>
      </w:r>
      <w:proofErr w:type="spellStart"/>
      <w:r>
        <w:rPr>
          <w:sz w:val="20"/>
        </w:rPr>
        <w:t>existante</w:t>
      </w:r>
      <w:proofErr w:type="spellEnd"/>
      <w:r>
        <w:rPr>
          <w:sz w:val="20"/>
        </w:rPr>
        <w:t>;</w:t>
      </w:r>
    </w:p>
    <w:p w14:paraId="0A663CE4" w14:textId="77777777" w:rsidR="00412538" w:rsidRDefault="00933454">
      <w:pPr>
        <w:pStyle w:val="Listepuces"/>
        <w:spacing w:after="50"/>
      </w:pPr>
      <w:r>
        <w:rPr>
          <w:sz w:val="20"/>
        </w:rPr>
        <w:t>les modalités de tarification ;</w:t>
      </w:r>
    </w:p>
    <w:p w14:paraId="0F3AA523"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coûts d’investissement et d’exploitation ;</w:t>
      </w:r>
    </w:p>
    <w:p w14:paraId="57DDECEE"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revenus et le chiffre d’affaires potentiels ;</w:t>
      </w:r>
    </w:p>
    <w:p w14:paraId="77D74FA8"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ressources humaines et techniques nécessaires ;</w:t>
      </w:r>
    </w:p>
    <w:p w14:paraId="1A17E123"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modalités institutionnelles et de gouvernance ;</w:t>
      </w:r>
    </w:p>
    <w:p w14:paraId="2124ADFE" w14:textId="77777777" w:rsidR="00412538" w:rsidRPr="00A003D3" w:rsidRDefault="00933454">
      <w:pPr>
        <w:pStyle w:val="Listepuces"/>
        <w:spacing w:after="50"/>
        <w:rPr>
          <w:lang w:val="fr-FR"/>
        </w:rPr>
      </w:pPr>
      <w:proofErr w:type="gramStart"/>
      <w:r w:rsidRPr="00A003D3">
        <w:rPr>
          <w:sz w:val="20"/>
          <w:lang w:val="fr-FR"/>
        </w:rPr>
        <w:t>le</w:t>
      </w:r>
      <w:proofErr w:type="gramEnd"/>
      <w:r w:rsidRPr="00A003D3">
        <w:rPr>
          <w:sz w:val="20"/>
          <w:lang w:val="fr-FR"/>
        </w:rPr>
        <w:t xml:space="preserve"> cadre juridique, fiscal et réglementaire applicable en Tunisie ;</w:t>
      </w:r>
    </w:p>
    <w:p w14:paraId="1733BE8B"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risques, mesures de mitigation et conditions de réussite.</w:t>
      </w:r>
    </w:p>
    <w:p w14:paraId="3721A919" w14:textId="77777777" w:rsidR="00412538" w:rsidRPr="00A003D3" w:rsidRDefault="00933454">
      <w:pPr>
        <w:pStyle w:val="Titre2"/>
        <w:rPr>
          <w:lang w:val="fr-FR"/>
        </w:rPr>
      </w:pPr>
      <w:r w:rsidRPr="00A003D3">
        <w:rPr>
          <w:lang w:val="fr-FR"/>
        </w:rPr>
        <w:t>4.5. Projections financières</w:t>
      </w:r>
    </w:p>
    <w:p w14:paraId="2160EC51" w14:textId="77777777" w:rsidR="00412538" w:rsidRPr="00A003D3" w:rsidRDefault="00933454">
      <w:pPr>
        <w:jc w:val="both"/>
        <w:rPr>
          <w:lang w:val="fr-FR"/>
        </w:rPr>
      </w:pPr>
      <w:r w:rsidRPr="00A003D3">
        <w:rPr>
          <w:lang w:val="fr-FR"/>
        </w:rPr>
        <w:t>Pour les options recommandées, le/la consultant(e) devra produire des projections financières couvrant, dans la mesure du possible, une période minimale de trois ans et incluant :</w:t>
      </w:r>
    </w:p>
    <w:p w14:paraId="1E5696CD" w14:textId="77777777" w:rsidR="00412538" w:rsidRDefault="00933454">
      <w:pPr>
        <w:pStyle w:val="Listepuces"/>
        <w:spacing w:after="50"/>
      </w:pPr>
      <w:r>
        <w:rPr>
          <w:sz w:val="20"/>
        </w:rPr>
        <w:t xml:space="preserve">les </w:t>
      </w:r>
      <w:proofErr w:type="spellStart"/>
      <w:r>
        <w:rPr>
          <w:sz w:val="20"/>
        </w:rPr>
        <w:t>hypothèses</w:t>
      </w:r>
      <w:proofErr w:type="spellEnd"/>
      <w:r>
        <w:rPr>
          <w:sz w:val="20"/>
        </w:rPr>
        <w:t xml:space="preserve"> </w:t>
      </w:r>
      <w:proofErr w:type="spellStart"/>
      <w:r>
        <w:rPr>
          <w:sz w:val="20"/>
        </w:rPr>
        <w:t>économiques</w:t>
      </w:r>
      <w:proofErr w:type="spellEnd"/>
      <w:r>
        <w:rPr>
          <w:sz w:val="20"/>
        </w:rPr>
        <w:t xml:space="preserve"> </w:t>
      </w:r>
      <w:proofErr w:type="spellStart"/>
      <w:proofErr w:type="gramStart"/>
      <w:r>
        <w:rPr>
          <w:sz w:val="20"/>
        </w:rPr>
        <w:t>retenues</w:t>
      </w:r>
      <w:proofErr w:type="spellEnd"/>
      <w:r>
        <w:rPr>
          <w:sz w:val="20"/>
        </w:rPr>
        <w:t xml:space="preserve"> ;</w:t>
      </w:r>
      <w:proofErr w:type="gramEnd"/>
    </w:p>
    <w:p w14:paraId="7AE3F2DD" w14:textId="77777777" w:rsidR="00412538" w:rsidRDefault="00933454">
      <w:pPr>
        <w:pStyle w:val="Listepuces"/>
        <w:spacing w:after="50"/>
      </w:pPr>
      <w:r>
        <w:rPr>
          <w:sz w:val="20"/>
        </w:rPr>
        <w:t>les investissements initiaux nécessaires ;</w:t>
      </w:r>
    </w:p>
    <w:p w14:paraId="15E8F190"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charges fixes et variables ;</w:t>
      </w:r>
    </w:p>
    <w:p w14:paraId="2487DCBC" w14:textId="77777777" w:rsidR="00412538" w:rsidRDefault="00933454">
      <w:pPr>
        <w:pStyle w:val="Listepuces"/>
        <w:spacing w:after="50"/>
      </w:pPr>
      <w:r>
        <w:rPr>
          <w:sz w:val="20"/>
        </w:rPr>
        <w:t xml:space="preserve">les </w:t>
      </w:r>
      <w:proofErr w:type="spellStart"/>
      <w:r>
        <w:rPr>
          <w:sz w:val="20"/>
        </w:rPr>
        <w:t>revenus</w:t>
      </w:r>
      <w:proofErr w:type="spellEnd"/>
      <w:r>
        <w:rPr>
          <w:sz w:val="20"/>
        </w:rPr>
        <w:t xml:space="preserve"> </w:t>
      </w:r>
      <w:proofErr w:type="spellStart"/>
      <w:proofErr w:type="gramStart"/>
      <w:r>
        <w:rPr>
          <w:sz w:val="20"/>
        </w:rPr>
        <w:t>prévisionnels</w:t>
      </w:r>
      <w:proofErr w:type="spellEnd"/>
      <w:r>
        <w:rPr>
          <w:sz w:val="20"/>
        </w:rPr>
        <w:t xml:space="preserve"> ;</w:t>
      </w:r>
      <w:proofErr w:type="gramEnd"/>
    </w:p>
    <w:p w14:paraId="0B2BCD5A" w14:textId="77777777" w:rsidR="00412538" w:rsidRPr="00A003D3" w:rsidRDefault="00933454">
      <w:pPr>
        <w:pStyle w:val="Listepuces"/>
        <w:spacing w:after="50"/>
        <w:rPr>
          <w:lang w:val="fr-FR"/>
        </w:rPr>
      </w:pPr>
      <w:proofErr w:type="gramStart"/>
      <w:r w:rsidRPr="00A003D3">
        <w:rPr>
          <w:sz w:val="20"/>
          <w:lang w:val="fr-FR"/>
        </w:rPr>
        <w:t>le</w:t>
      </w:r>
      <w:proofErr w:type="gramEnd"/>
      <w:r w:rsidRPr="00A003D3">
        <w:rPr>
          <w:sz w:val="20"/>
          <w:lang w:val="fr-FR"/>
        </w:rPr>
        <w:t xml:space="preserve"> seuil de rentabilité, lorsque pertinent ;</w:t>
      </w:r>
    </w:p>
    <w:p w14:paraId="2A7199E3"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besoins éventuels de financement initial ;</w:t>
      </w:r>
    </w:p>
    <w:p w14:paraId="63296909" w14:textId="77777777" w:rsidR="00412538" w:rsidRPr="00A003D3" w:rsidRDefault="00933454">
      <w:pPr>
        <w:pStyle w:val="Listepuces"/>
        <w:spacing w:after="50"/>
        <w:rPr>
          <w:lang w:val="fr-FR"/>
        </w:rPr>
      </w:pPr>
      <w:proofErr w:type="gramStart"/>
      <w:r w:rsidRPr="00A003D3">
        <w:rPr>
          <w:sz w:val="20"/>
          <w:lang w:val="fr-FR"/>
        </w:rPr>
        <w:t>la</w:t>
      </w:r>
      <w:proofErr w:type="gramEnd"/>
      <w:r w:rsidRPr="00A003D3">
        <w:rPr>
          <w:sz w:val="20"/>
          <w:lang w:val="fr-FR"/>
        </w:rPr>
        <w:t xml:space="preserve"> contribution potentielle des revenus propres au financement des coûts structurels de l’ATSR.</w:t>
      </w:r>
    </w:p>
    <w:p w14:paraId="46AF7ABA" w14:textId="77777777" w:rsidR="00412538" w:rsidRPr="00A003D3" w:rsidRDefault="00933454">
      <w:pPr>
        <w:pStyle w:val="Titre2"/>
        <w:rPr>
          <w:lang w:val="fr-FR"/>
        </w:rPr>
      </w:pPr>
      <w:r w:rsidRPr="00A003D3">
        <w:rPr>
          <w:lang w:val="fr-FR"/>
        </w:rPr>
        <w:t>4.6. Stratégie de durabilité</w:t>
      </w:r>
    </w:p>
    <w:p w14:paraId="55040018" w14:textId="77777777" w:rsidR="00412538" w:rsidRPr="00A003D3" w:rsidRDefault="00933454">
      <w:pPr>
        <w:jc w:val="both"/>
        <w:rPr>
          <w:lang w:val="fr-FR"/>
        </w:rPr>
      </w:pPr>
      <w:r w:rsidRPr="00A003D3">
        <w:rPr>
          <w:lang w:val="fr-FR"/>
        </w:rPr>
        <w:t>La stratégie finale devra couvrir au minimum quatre dimensions complémentaires :</w:t>
      </w:r>
    </w:p>
    <w:p w14:paraId="15848059" w14:textId="77777777" w:rsidR="00412538" w:rsidRPr="00A003D3" w:rsidRDefault="00933454">
      <w:pPr>
        <w:spacing w:after="60"/>
        <w:ind w:left="227"/>
        <w:rPr>
          <w:lang w:val="fr-FR"/>
        </w:rPr>
      </w:pPr>
      <w:r w:rsidRPr="00A003D3">
        <w:rPr>
          <w:b/>
          <w:color w:val="277642"/>
          <w:lang w:val="fr-FR"/>
        </w:rPr>
        <w:t xml:space="preserve">Durabilité institutionnelle : </w:t>
      </w:r>
      <w:r w:rsidRPr="00A003D3">
        <w:rPr>
          <w:lang w:val="fr-FR"/>
        </w:rPr>
        <w:t>gouvernance, organisation, ressources humaines, compétences, systèmes et processus internes.</w:t>
      </w:r>
    </w:p>
    <w:p w14:paraId="173C91D4" w14:textId="77777777" w:rsidR="00412538" w:rsidRPr="00A003D3" w:rsidRDefault="00933454">
      <w:pPr>
        <w:spacing w:after="60"/>
        <w:ind w:left="227"/>
        <w:rPr>
          <w:lang w:val="fr-FR"/>
        </w:rPr>
      </w:pPr>
      <w:r w:rsidRPr="00A003D3">
        <w:rPr>
          <w:b/>
          <w:color w:val="277642"/>
          <w:lang w:val="fr-FR"/>
        </w:rPr>
        <w:t xml:space="preserve">Durabilité programmatique : </w:t>
      </w:r>
      <w:r w:rsidRPr="00A003D3">
        <w:rPr>
          <w:lang w:val="fr-FR"/>
        </w:rPr>
        <w:t>maintien de la pertinence des programmes, adaptation aux besoins émergents et consolidation des expertises.</w:t>
      </w:r>
    </w:p>
    <w:p w14:paraId="09B32E09" w14:textId="77777777" w:rsidR="00412538" w:rsidRPr="00A003D3" w:rsidRDefault="00933454">
      <w:pPr>
        <w:spacing w:after="60"/>
        <w:ind w:left="227"/>
        <w:rPr>
          <w:lang w:val="fr-FR"/>
        </w:rPr>
      </w:pPr>
      <w:r w:rsidRPr="00A003D3">
        <w:rPr>
          <w:b/>
          <w:color w:val="277642"/>
          <w:lang w:val="fr-FR"/>
        </w:rPr>
        <w:lastRenderedPageBreak/>
        <w:t xml:space="preserve">Durabilité financière : </w:t>
      </w:r>
      <w:r w:rsidRPr="00A003D3">
        <w:rPr>
          <w:lang w:val="fr-FR"/>
        </w:rPr>
        <w:t>diversification des ressources, développement progressif de revenus propres, maîtrise des coûts et réduction de la dépendance à un nombre limité de financements.</w:t>
      </w:r>
    </w:p>
    <w:p w14:paraId="39F9D5B4" w14:textId="77777777" w:rsidR="00412538" w:rsidRPr="00A003D3" w:rsidRDefault="00933454">
      <w:pPr>
        <w:spacing w:after="60"/>
        <w:ind w:left="227"/>
        <w:rPr>
          <w:lang w:val="fr-FR"/>
        </w:rPr>
      </w:pPr>
      <w:r w:rsidRPr="00A003D3">
        <w:rPr>
          <w:b/>
          <w:color w:val="277642"/>
          <w:lang w:val="fr-FR"/>
        </w:rPr>
        <w:t xml:space="preserve">Durabilité partenariale et stratégique : </w:t>
      </w:r>
      <w:r w:rsidRPr="00A003D3">
        <w:rPr>
          <w:lang w:val="fr-FR"/>
        </w:rPr>
        <w:t>positionnement de l’ATSR, développement d’alliances et de partenariats institutionnels, privés et techniques.</w:t>
      </w:r>
    </w:p>
    <w:p w14:paraId="40882A57" w14:textId="77777777" w:rsidR="00412538" w:rsidRPr="00A003D3" w:rsidRDefault="00933454">
      <w:pPr>
        <w:pStyle w:val="Titre2"/>
        <w:rPr>
          <w:lang w:val="fr-FR"/>
        </w:rPr>
      </w:pPr>
      <w:r w:rsidRPr="00A003D3">
        <w:rPr>
          <w:lang w:val="fr-FR"/>
        </w:rPr>
        <w:t>4.7. Mobilisation des ressources et renforcement des capacités</w:t>
      </w:r>
    </w:p>
    <w:p w14:paraId="42CD1E2D" w14:textId="77777777" w:rsidR="00412538" w:rsidRPr="00A003D3" w:rsidRDefault="00933454">
      <w:pPr>
        <w:jc w:val="both"/>
        <w:rPr>
          <w:lang w:val="fr-FR"/>
        </w:rPr>
      </w:pPr>
      <w:r w:rsidRPr="00A003D3">
        <w:rPr>
          <w:lang w:val="fr-FR"/>
        </w:rPr>
        <w:t>Le volet de renforcement des capacités devra être directement lié aux résultats de l’étude et aux mécanismes de durabilité recommandés. Des ateliers seront organisés au profit du personnel et des jeunes de l’ATSR, notamment à Tunis et à Tataouine, et pourront porter sur :</w:t>
      </w:r>
    </w:p>
    <w:p w14:paraId="520B84A1" w14:textId="77777777" w:rsidR="00412538" w:rsidRPr="00A003D3" w:rsidRDefault="00933454">
      <w:pPr>
        <w:pStyle w:val="Listepuces"/>
        <w:spacing w:after="50"/>
        <w:rPr>
          <w:lang w:val="fr-FR"/>
        </w:rPr>
      </w:pPr>
      <w:proofErr w:type="gramStart"/>
      <w:r w:rsidRPr="00A003D3">
        <w:rPr>
          <w:sz w:val="20"/>
          <w:lang w:val="fr-FR"/>
        </w:rPr>
        <w:t>la</w:t>
      </w:r>
      <w:proofErr w:type="gramEnd"/>
      <w:r w:rsidRPr="00A003D3">
        <w:rPr>
          <w:sz w:val="20"/>
          <w:lang w:val="fr-FR"/>
        </w:rPr>
        <w:t xml:space="preserve"> mobilisation et la diversification des ressources ;</w:t>
      </w:r>
    </w:p>
    <w:p w14:paraId="1EEBFDFD" w14:textId="77777777" w:rsidR="00412538" w:rsidRPr="00A003D3" w:rsidRDefault="00933454">
      <w:pPr>
        <w:pStyle w:val="Listepuces"/>
        <w:spacing w:after="50"/>
        <w:rPr>
          <w:lang w:val="fr-FR"/>
        </w:rPr>
      </w:pPr>
      <w:proofErr w:type="gramStart"/>
      <w:r w:rsidRPr="00A003D3">
        <w:rPr>
          <w:sz w:val="20"/>
          <w:lang w:val="fr-FR"/>
        </w:rPr>
        <w:t>la</w:t>
      </w:r>
      <w:proofErr w:type="gramEnd"/>
      <w:r w:rsidRPr="00A003D3">
        <w:rPr>
          <w:sz w:val="20"/>
          <w:lang w:val="fr-FR"/>
        </w:rPr>
        <w:t xml:space="preserve"> cartographie et la recherche d’opportunités de financement ;</w:t>
      </w:r>
    </w:p>
    <w:p w14:paraId="5E7BA328" w14:textId="77777777" w:rsidR="00412538" w:rsidRPr="00A003D3" w:rsidRDefault="00933454">
      <w:pPr>
        <w:pStyle w:val="Listepuces"/>
        <w:spacing w:after="50"/>
        <w:rPr>
          <w:lang w:val="fr-FR"/>
        </w:rPr>
      </w:pPr>
      <w:proofErr w:type="gramStart"/>
      <w:r w:rsidRPr="00A003D3">
        <w:rPr>
          <w:sz w:val="20"/>
          <w:lang w:val="fr-FR"/>
        </w:rPr>
        <w:t>le</w:t>
      </w:r>
      <w:proofErr w:type="gramEnd"/>
      <w:r w:rsidRPr="00A003D3">
        <w:rPr>
          <w:sz w:val="20"/>
          <w:lang w:val="fr-FR"/>
        </w:rPr>
        <w:t xml:space="preserve"> développement de partenariats et la mobilisation du secteur privé ;</w:t>
      </w:r>
    </w:p>
    <w:p w14:paraId="482F23FA" w14:textId="77777777" w:rsidR="00412538" w:rsidRPr="00A003D3" w:rsidRDefault="00933454">
      <w:pPr>
        <w:pStyle w:val="Listepuces"/>
        <w:spacing w:after="50"/>
        <w:rPr>
          <w:lang w:val="fr-FR"/>
        </w:rPr>
      </w:pPr>
      <w:proofErr w:type="gramStart"/>
      <w:r w:rsidRPr="00A003D3">
        <w:rPr>
          <w:sz w:val="20"/>
          <w:lang w:val="fr-FR"/>
        </w:rPr>
        <w:t>la</w:t>
      </w:r>
      <w:proofErr w:type="gramEnd"/>
      <w:r w:rsidRPr="00A003D3">
        <w:rPr>
          <w:sz w:val="20"/>
          <w:lang w:val="fr-FR"/>
        </w:rPr>
        <w:t xml:space="preserve"> préparation de propositions et la construction de budgets ;</w:t>
      </w:r>
    </w:p>
    <w:p w14:paraId="5383FD9E" w14:textId="77777777" w:rsidR="00412538" w:rsidRPr="00A003D3" w:rsidRDefault="00933454">
      <w:pPr>
        <w:pStyle w:val="Listepuces"/>
        <w:spacing w:after="50"/>
        <w:rPr>
          <w:lang w:val="fr-FR"/>
        </w:rPr>
      </w:pPr>
      <w:proofErr w:type="gramStart"/>
      <w:r w:rsidRPr="00A003D3">
        <w:rPr>
          <w:sz w:val="20"/>
          <w:lang w:val="fr-FR"/>
        </w:rPr>
        <w:t>les</w:t>
      </w:r>
      <w:proofErr w:type="gramEnd"/>
      <w:r w:rsidRPr="00A003D3">
        <w:rPr>
          <w:sz w:val="20"/>
          <w:lang w:val="fr-FR"/>
        </w:rPr>
        <w:t xml:space="preserve"> principes de gestion financière, de transparence et de redevabilité ;</w:t>
      </w:r>
    </w:p>
    <w:p w14:paraId="09A58166" w14:textId="77777777" w:rsidR="00412538" w:rsidRDefault="00933454">
      <w:pPr>
        <w:pStyle w:val="Listepuces"/>
        <w:spacing w:after="50"/>
      </w:pPr>
      <w:r>
        <w:rPr>
          <w:sz w:val="20"/>
        </w:rPr>
        <w:t xml:space="preserve">les techniques de </w:t>
      </w:r>
      <w:proofErr w:type="gramStart"/>
      <w:r>
        <w:rPr>
          <w:sz w:val="20"/>
        </w:rPr>
        <w:t>fundraising ;</w:t>
      </w:r>
      <w:proofErr w:type="gramEnd"/>
    </w:p>
    <w:p w14:paraId="2D61E838" w14:textId="77777777" w:rsidR="00412538" w:rsidRPr="00A003D3" w:rsidRDefault="00933454">
      <w:pPr>
        <w:pStyle w:val="Listepuces"/>
        <w:spacing w:after="50"/>
        <w:rPr>
          <w:lang w:val="fr-FR"/>
        </w:rPr>
      </w:pPr>
      <w:proofErr w:type="gramStart"/>
      <w:r w:rsidRPr="00A003D3">
        <w:rPr>
          <w:sz w:val="20"/>
          <w:lang w:val="fr-FR"/>
        </w:rPr>
        <w:t>le</w:t>
      </w:r>
      <w:proofErr w:type="gramEnd"/>
      <w:r w:rsidRPr="00A003D3">
        <w:rPr>
          <w:sz w:val="20"/>
          <w:lang w:val="fr-FR"/>
        </w:rPr>
        <w:t xml:space="preserve"> développement et le pilotage d’activités génératrices de revenus.</w:t>
      </w:r>
    </w:p>
    <w:p w14:paraId="20166EBC" w14:textId="77777777" w:rsidR="00412538" w:rsidRPr="00A003D3" w:rsidRDefault="00933454">
      <w:pPr>
        <w:pStyle w:val="Titre1"/>
        <w:rPr>
          <w:lang w:val="fr-FR"/>
        </w:rPr>
      </w:pPr>
      <w:r w:rsidRPr="00A003D3">
        <w:rPr>
          <w:lang w:val="fr-FR"/>
        </w:rPr>
        <w:t>5. Approche méthodologique attendue</w:t>
      </w:r>
    </w:p>
    <w:p w14:paraId="17A2D33A" w14:textId="77777777" w:rsidR="00412538" w:rsidRPr="00A003D3" w:rsidRDefault="00933454">
      <w:pPr>
        <w:jc w:val="both"/>
        <w:rPr>
          <w:lang w:val="fr-FR"/>
        </w:rPr>
      </w:pPr>
      <w:r w:rsidRPr="00A003D3">
        <w:rPr>
          <w:lang w:val="fr-FR"/>
        </w:rPr>
        <w:t>La mission devra adopter une approche participative, analytique et orientée vers l’action. La méthodologie proposée par le/la candidat(e) devra être précisée dans l’offre technique et pourra être ajustée lors de la phase de cadrage.</w:t>
      </w:r>
    </w:p>
    <w:p w14:paraId="5C8E22FF" w14:textId="77777777" w:rsidR="00412538" w:rsidRPr="00A003D3" w:rsidRDefault="00933454">
      <w:pPr>
        <w:pStyle w:val="Listepuces"/>
        <w:spacing w:after="50"/>
        <w:rPr>
          <w:lang w:val="fr-FR"/>
        </w:rPr>
      </w:pPr>
      <w:r w:rsidRPr="00A003D3">
        <w:rPr>
          <w:sz w:val="20"/>
          <w:lang w:val="fr-FR"/>
        </w:rPr>
        <w:t>Réunion de cadrage avec l’ATSR.</w:t>
      </w:r>
    </w:p>
    <w:p w14:paraId="53E1830D" w14:textId="77777777" w:rsidR="00412538" w:rsidRPr="00A003D3" w:rsidRDefault="00933454">
      <w:pPr>
        <w:pStyle w:val="Listepuces"/>
        <w:spacing w:after="50"/>
        <w:rPr>
          <w:lang w:val="fr-FR"/>
        </w:rPr>
      </w:pPr>
      <w:r w:rsidRPr="00A003D3">
        <w:rPr>
          <w:sz w:val="20"/>
          <w:lang w:val="fr-FR"/>
        </w:rPr>
        <w:t>Revue documentaire et analyse des données financières, institutionnelles et programmatiques disponibles.</w:t>
      </w:r>
    </w:p>
    <w:p w14:paraId="0D6D7194" w14:textId="77777777" w:rsidR="00412538" w:rsidRPr="00A003D3" w:rsidRDefault="00933454">
      <w:pPr>
        <w:pStyle w:val="Listepuces"/>
        <w:spacing w:after="50"/>
        <w:rPr>
          <w:lang w:val="fr-FR"/>
        </w:rPr>
      </w:pPr>
      <w:r w:rsidRPr="00A003D3">
        <w:rPr>
          <w:sz w:val="20"/>
          <w:lang w:val="fr-FR"/>
        </w:rPr>
        <w:t>Entretiens avec les instances de gouvernance, la direction, les équipes techniques et administratives.</w:t>
      </w:r>
    </w:p>
    <w:p w14:paraId="3AAAE4CD" w14:textId="77777777" w:rsidR="00412538" w:rsidRPr="00A003D3" w:rsidRDefault="00933454">
      <w:pPr>
        <w:pStyle w:val="Listepuces"/>
        <w:spacing w:after="50"/>
        <w:rPr>
          <w:lang w:val="fr-FR"/>
        </w:rPr>
      </w:pPr>
      <w:r w:rsidRPr="00A003D3">
        <w:rPr>
          <w:sz w:val="20"/>
          <w:lang w:val="fr-FR"/>
        </w:rPr>
        <w:t>Consultations avec les bureaux régionaux, les centres et, lorsque pertinent, certains partenaires.</w:t>
      </w:r>
    </w:p>
    <w:p w14:paraId="4918627D" w14:textId="77777777" w:rsidR="00412538" w:rsidRPr="00A003D3" w:rsidRDefault="00933454">
      <w:pPr>
        <w:pStyle w:val="Listepuces"/>
        <w:spacing w:after="50"/>
        <w:rPr>
          <w:lang w:val="fr-FR"/>
        </w:rPr>
      </w:pPr>
      <w:r w:rsidRPr="00A003D3">
        <w:rPr>
          <w:sz w:val="20"/>
          <w:lang w:val="fr-FR"/>
        </w:rPr>
        <w:t>Cartographie des ressources, actifs et opportunités de financement.</w:t>
      </w:r>
    </w:p>
    <w:p w14:paraId="47874354" w14:textId="77777777" w:rsidR="00412538" w:rsidRPr="00A003D3" w:rsidRDefault="00933454">
      <w:pPr>
        <w:pStyle w:val="Listepuces"/>
        <w:spacing w:after="50"/>
        <w:rPr>
          <w:lang w:val="fr-FR"/>
        </w:rPr>
      </w:pPr>
      <w:r w:rsidRPr="00A003D3">
        <w:rPr>
          <w:sz w:val="20"/>
          <w:lang w:val="fr-FR"/>
        </w:rPr>
        <w:t>Analyse comparative de modèles pertinents développés par des organisations similaires en Tunisie ou à l’international.</w:t>
      </w:r>
    </w:p>
    <w:p w14:paraId="2B2ED944" w14:textId="77777777" w:rsidR="00412538" w:rsidRPr="00A003D3" w:rsidRDefault="00933454">
      <w:pPr>
        <w:pStyle w:val="Listepuces"/>
        <w:spacing w:after="50"/>
        <w:rPr>
          <w:lang w:val="fr-FR"/>
        </w:rPr>
      </w:pPr>
      <w:r w:rsidRPr="00A003D3">
        <w:rPr>
          <w:sz w:val="20"/>
          <w:lang w:val="fr-FR"/>
        </w:rPr>
        <w:t>Analyse de marché ciblée pour les principales options de génération de revenus identifiées.</w:t>
      </w:r>
    </w:p>
    <w:p w14:paraId="3F51C0D2" w14:textId="77777777" w:rsidR="00412538" w:rsidRPr="00A003D3" w:rsidRDefault="00933454">
      <w:pPr>
        <w:pStyle w:val="Listepuces"/>
        <w:spacing w:after="50"/>
        <w:rPr>
          <w:lang w:val="fr-FR"/>
        </w:rPr>
      </w:pPr>
      <w:r w:rsidRPr="00A003D3">
        <w:rPr>
          <w:sz w:val="20"/>
          <w:lang w:val="fr-FR"/>
        </w:rPr>
        <w:t>Modélisation économique et financière des scénarios.</w:t>
      </w:r>
    </w:p>
    <w:p w14:paraId="3E5F1E31" w14:textId="77777777" w:rsidR="00412538" w:rsidRPr="00A003D3" w:rsidRDefault="00933454">
      <w:pPr>
        <w:pStyle w:val="Listepuces"/>
        <w:spacing w:after="50"/>
        <w:rPr>
          <w:lang w:val="fr-FR"/>
        </w:rPr>
      </w:pPr>
      <w:r w:rsidRPr="00A003D3">
        <w:rPr>
          <w:sz w:val="20"/>
          <w:lang w:val="fr-FR"/>
        </w:rPr>
        <w:t>Atelier(s) de réflexion stratégique et de validation.</w:t>
      </w:r>
    </w:p>
    <w:p w14:paraId="621618D6" w14:textId="77777777" w:rsidR="00412538" w:rsidRPr="00A003D3" w:rsidRDefault="00933454">
      <w:pPr>
        <w:pStyle w:val="Listepuces"/>
        <w:spacing w:after="50"/>
        <w:rPr>
          <w:lang w:val="fr-FR"/>
        </w:rPr>
      </w:pPr>
      <w:r w:rsidRPr="00A003D3">
        <w:rPr>
          <w:sz w:val="20"/>
          <w:lang w:val="fr-FR"/>
        </w:rPr>
        <w:t>Restitution finale et intégration des observations de l’ATSR.</w:t>
      </w:r>
    </w:p>
    <w:p w14:paraId="04C3BE2F" w14:textId="77777777" w:rsidR="00412538" w:rsidRPr="00A003D3" w:rsidRDefault="00933454">
      <w:pPr>
        <w:pStyle w:val="Titre1"/>
        <w:rPr>
          <w:lang w:val="fr-FR"/>
        </w:rPr>
      </w:pPr>
      <w:r w:rsidRPr="00A003D3">
        <w:rPr>
          <w:lang w:val="fr-FR"/>
        </w:rPr>
        <w:t>6. Livrables attendus</w:t>
      </w:r>
    </w:p>
    <w:p w14:paraId="6463CEE3" w14:textId="77777777" w:rsidR="00412538" w:rsidRPr="00A003D3" w:rsidRDefault="00933454">
      <w:pPr>
        <w:jc w:val="both"/>
        <w:rPr>
          <w:lang w:val="fr-FR"/>
        </w:rPr>
      </w:pPr>
      <w:r w:rsidRPr="00A003D3">
        <w:rPr>
          <w:lang w:val="fr-FR"/>
        </w:rPr>
        <w:t>Les livrables seront soumis en version électronique et validés par l’ATSR selon un calendrier convenu au démarrage de la mission.</w:t>
      </w:r>
    </w:p>
    <w:tbl>
      <w:tblPr>
        <w:tblW w:w="4513" w:type="dxa"/>
        <w:jc w:val="center"/>
        <w:tblLayout w:type="fixed"/>
        <w:tblLook w:val="04A0" w:firstRow="1" w:lastRow="0" w:firstColumn="1" w:lastColumn="0" w:noHBand="0" w:noVBand="1"/>
      </w:tblPr>
      <w:tblGrid>
        <w:gridCol w:w="1264"/>
        <w:gridCol w:w="3249"/>
      </w:tblGrid>
      <w:tr w:rsidR="00A003D3" w14:paraId="5CB099BB" w14:textId="77777777" w:rsidTr="00A003D3">
        <w:trPr>
          <w:tblHeader/>
          <w:jc w:val="center"/>
        </w:trPr>
        <w:tc>
          <w:tcPr>
            <w:tcW w:w="1264" w:type="dxa"/>
            <w:shd w:val="clear" w:color="auto" w:fill="277642"/>
            <w:tcMar>
              <w:top w:w="120" w:type="dxa"/>
              <w:left w:w="120" w:type="dxa"/>
              <w:bottom w:w="120" w:type="dxa"/>
              <w:right w:w="120" w:type="dxa"/>
            </w:tcMar>
            <w:vAlign w:val="center"/>
          </w:tcPr>
          <w:p w14:paraId="6404D50C" w14:textId="77777777" w:rsidR="00A003D3" w:rsidRDefault="00A003D3">
            <w:pPr>
              <w:jc w:val="center"/>
            </w:pPr>
            <w:r>
              <w:rPr>
                <w:b/>
                <w:color w:val="FFFFFF"/>
                <w:sz w:val="19"/>
              </w:rPr>
              <w:t>N°</w:t>
            </w:r>
          </w:p>
        </w:tc>
        <w:tc>
          <w:tcPr>
            <w:tcW w:w="3249" w:type="dxa"/>
            <w:shd w:val="clear" w:color="auto" w:fill="277642"/>
            <w:tcMar>
              <w:top w:w="120" w:type="dxa"/>
              <w:left w:w="120" w:type="dxa"/>
              <w:bottom w:w="120" w:type="dxa"/>
              <w:right w:w="120" w:type="dxa"/>
            </w:tcMar>
            <w:vAlign w:val="center"/>
          </w:tcPr>
          <w:p w14:paraId="286E0D7E" w14:textId="77777777" w:rsidR="00A003D3" w:rsidRDefault="00A003D3">
            <w:pPr>
              <w:jc w:val="center"/>
            </w:pPr>
            <w:r>
              <w:rPr>
                <w:b/>
                <w:color w:val="FFFFFF"/>
                <w:sz w:val="19"/>
              </w:rPr>
              <w:t>Livrable</w:t>
            </w:r>
          </w:p>
        </w:tc>
      </w:tr>
      <w:tr w:rsidR="00A003D3" w:rsidRPr="00411F32" w14:paraId="48BC1912" w14:textId="77777777" w:rsidTr="00A003D3">
        <w:trPr>
          <w:jc w:val="center"/>
        </w:trPr>
        <w:tc>
          <w:tcPr>
            <w:tcW w:w="1264" w:type="dxa"/>
            <w:tcMar>
              <w:top w:w="110" w:type="dxa"/>
              <w:left w:w="120" w:type="dxa"/>
              <w:bottom w:w="110" w:type="dxa"/>
              <w:right w:w="120" w:type="dxa"/>
            </w:tcMar>
            <w:vAlign w:val="center"/>
          </w:tcPr>
          <w:p w14:paraId="7E0688A0" w14:textId="77777777" w:rsidR="00A003D3" w:rsidRDefault="00A003D3">
            <w:pPr>
              <w:jc w:val="center"/>
            </w:pPr>
            <w:r>
              <w:rPr>
                <w:b/>
                <w:sz w:val="18"/>
              </w:rPr>
              <w:t>1</w:t>
            </w:r>
          </w:p>
        </w:tc>
        <w:tc>
          <w:tcPr>
            <w:tcW w:w="3249" w:type="dxa"/>
            <w:tcMar>
              <w:top w:w="110" w:type="dxa"/>
              <w:left w:w="120" w:type="dxa"/>
              <w:bottom w:w="110" w:type="dxa"/>
              <w:right w:w="120" w:type="dxa"/>
            </w:tcMar>
            <w:vAlign w:val="center"/>
          </w:tcPr>
          <w:p w14:paraId="5BB45F54" w14:textId="77777777" w:rsidR="00A003D3" w:rsidRPr="00A003D3" w:rsidRDefault="00A003D3">
            <w:pPr>
              <w:rPr>
                <w:lang w:val="fr-FR"/>
              </w:rPr>
            </w:pPr>
            <w:r w:rsidRPr="00A003D3">
              <w:rPr>
                <w:b/>
                <w:sz w:val="18"/>
                <w:lang w:val="fr-FR"/>
              </w:rPr>
              <w:t>Note de cadrage et méthodologie détaillée</w:t>
            </w:r>
          </w:p>
        </w:tc>
      </w:tr>
      <w:tr w:rsidR="00A003D3" w:rsidRPr="00411F32" w14:paraId="43211F2D" w14:textId="77777777" w:rsidTr="00A003D3">
        <w:trPr>
          <w:jc w:val="center"/>
        </w:trPr>
        <w:tc>
          <w:tcPr>
            <w:tcW w:w="1264" w:type="dxa"/>
            <w:tcMar>
              <w:top w:w="110" w:type="dxa"/>
              <w:left w:w="120" w:type="dxa"/>
              <w:bottom w:w="110" w:type="dxa"/>
              <w:right w:w="120" w:type="dxa"/>
            </w:tcMar>
            <w:vAlign w:val="center"/>
          </w:tcPr>
          <w:p w14:paraId="731AA905" w14:textId="77777777" w:rsidR="00A003D3" w:rsidRDefault="00A003D3">
            <w:pPr>
              <w:jc w:val="center"/>
            </w:pPr>
            <w:r>
              <w:rPr>
                <w:b/>
                <w:sz w:val="18"/>
              </w:rPr>
              <w:t>2</w:t>
            </w:r>
          </w:p>
        </w:tc>
        <w:tc>
          <w:tcPr>
            <w:tcW w:w="3249" w:type="dxa"/>
            <w:tcMar>
              <w:top w:w="110" w:type="dxa"/>
              <w:left w:w="120" w:type="dxa"/>
              <w:bottom w:w="110" w:type="dxa"/>
              <w:right w:w="120" w:type="dxa"/>
            </w:tcMar>
            <w:vAlign w:val="center"/>
          </w:tcPr>
          <w:p w14:paraId="60D30AB8" w14:textId="77777777" w:rsidR="00A003D3" w:rsidRPr="00A003D3" w:rsidRDefault="00A003D3">
            <w:pPr>
              <w:rPr>
                <w:lang w:val="fr-FR"/>
              </w:rPr>
            </w:pPr>
            <w:r w:rsidRPr="00A003D3">
              <w:rPr>
                <w:b/>
                <w:sz w:val="18"/>
                <w:lang w:val="fr-FR"/>
              </w:rPr>
              <w:t>Rapport de diagnostic de durabilité</w:t>
            </w:r>
          </w:p>
        </w:tc>
      </w:tr>
      <w:tr w:rsidR="00A003D3" w:rsidRPr="00411F32" w14:paraId="24AB3F85" w14:textId="77777777" w:rsidTr="00A003D3">
        <w:trPr>
          <w:jc w:val="center"/>
        </w:trPr>
        <w:tc>
          <w:tcPr>
            <w:tcW w:w="1264" w:type="dxa"/>
            <w:tcMar>
              <w:top w:w="110" w:type="dxa"/>
              <w:left w:w="120" w:type="dxa"/>
              <w:bottom w:w="110" w:type="dxa"/>
              <w:right w:w="120" w:type="dxa"/>
            </w:tcMar>
            <w:vAlign w:val="center"/>
          </w:tcPr>
          <w:p w14:paraId="68B5E586" w14:textId="77777777" w:rsidR="00A003D3" w:rsidRDefault="00A003D3">
            <w:pPr>
              <w:jc w:val="center"/>
            </w:pPr>
            <w:r>
              <w:rPr>
                <w:b/>
                <w:sz w:val="18"/>
              </w:rPr>
              <w:t>3</w:t>
            </w:r>
          </w:p>
        </w:tc>
        <w:tc>
          <w:tcPr>
            <w:tcW w:w="3249" w:type="dxa"/>
            <w:tcMar>
              <w:top w:w="110" w:type="dxa"/>
              <w:left w:w="120" w:type="dxa"/>
              <w:bottom w:w="110" w:type="dxa"/>
              <w:right w:w="120" w:type="dxa"/>
            </w:tcMar>
            <w:vAlign w:val="center"/>
          </w:tcPr>
          <w:p w14:paraId="25334044" w14:textId="77777777" w:rsidR="00A003D3" w:rsidRPr="00A003D3" w:rsidRDefault="00A003D3">
            <w:pPr>
              <w:rPr>
                <w:lang w:val="fr-FR"/>
              </w:rPr>
            </w:pPr>
            <w:r w:rsidRPr="00A003D3">
              <w:rPr>
                <w:b/>
                <w:sz w:val="18"/>
                <w:lang w:val="fr-FR"/>
              </w:rPr>
              <w:t>Cartographie des ressources et financements</w:t>
            </w:r>
          </w:p>
        </w:tc>
      </w:tr>
      <w:tr w:rsidR="00A003D3" w:rsidRPr="00411F32" w14:paraId="4DF22FBB" w14:textId="77777777" w:rsidTr="00A003D3">
        <w:trPr>
          <w:jc w:val="center"/>
        </w:trPr>
        <w:tc>
          <w:tcPr>
            <w:tcW w:w="1264" w:type="dxa"/>
            <w:tcMar>
              <w:top w:w="110" w:type="dxa"/>
              <w:left w:w="120" w:type="dxa"/>
              <w:bottom w:w="110" w:type="dxa"/>
              <w:right w:w="120" w:type="dxa"/>
            </w:tcMar>
            <w:vAlign w:val="center"/>
          </w:tcPr>
          <w:p w14:paraId="58B0A9CE" w14:textId="77777777" w:rsidR="00A003D3" w:rsidRDefault="00A003D3">
            <w:pPr>
              <w:jc w:val="center"/>
            </w:pPr>
            <w:r>
              <w:rPr>
                <w:b/>
                <w:sz w:val="18"/>
              </w:rPr>
              <w:lastRenderedPageBreak/>
              <w:t>4</w:t>
            </w:r>
          </w:p>
        </w:tc>
        <w:tc>
          <w:tcPr>
            <w:tcW w:w="3249" w:type="dxa"/>
            <w:tcMar>
              <w:top w:w="110" w:type="dxa"/>
              <w:left w:w="120" w:type="dxa"/>
              <w:bottom w:w="110" w:type="dxa"/>
              <w:right w:w="120" w:type="dxa"/>
            </w:tcMar>
            <w:vAlign w:val="center"/>
          </w:tcPr>
          <w:p w14:paraId="0C6F3189" w14:textId="77777777" w:rsidR="00A003D3" w:rsidRPr="00A003D3" w:rsidRDefault="00A003D3">
            <w:pPr>
              <w:rPr>
                <w:lang w:val="fr-FR"/>
              </w:rPr>
            </w:pPr>
            <w:r w:rsidRPr="00A003D3">
              <w:rPr>
                <w:b/>
                <w:sz w:val="18"/>
                <w:lang w:val="fr-FR"/>
              </w:rPr>
              <w:t>Analyse des options de génération de revenus</w:t>
            </w:r>
          </w:p>
        </w:tc>
      </w:tr>
      <w:tr w:rsidR="00A003D3" w:rsidRPr="00A003D3" w14:paraId="5A256712" w14:textId="77777777" w:rsidTr="00A003D3">
        <w:trPr>
          <w:jc w:val="center"/>
        </w:trPr>
        <w:tc>
          <w:tcPr>
            <w:tcW w:w="1264" w:type="dxa"/>
            <w:tcMar>
              <w:top w:w="110" w:type="dxa"/>
              <w:left w:w="120" w:type="dxa"/>
              <w:bottom w:w="110" w:type="dxa"/>
              <w:right w:w="120" w:type="dxa"/>
            </w:tcMar>
            <w:vAlign w:val="center"/>
          </w:tcPr>
          <w:p w14:paraId="5F1DFDB6" w14:textId="77777777" w:rsidR="00A003D3" w:rsidRDefault="00A003D3">
            <w:pPr>
              <w:jc w:val="center"/>
            </w:pPr>
            <w:r>
              <w:rPr>
                <w:b/>
                <w:sz w:val="18"/>
              </w:rPr>
              <w:t>5</w:t>
            </w:r>
          </w:p>
        </w:tc>
        <w:tc>
          <w:tcPr>
            <w:tcW w:w="3249" w:type="dxa"/>
            <w:tcMar>
              <w:top w:w="110" w:type="dxa"/>
              <w:left w:w="120" w:type="dxa"/>
              <w:bottom w:w="110" w:type="dxa"/>
              <w:right w:w="120" w:type="dxa"/>
            </w:tcMar>
            <w:vAlign w:val="center"/>
          </w:tcPr>
          <w:p w14:paraId="1C9B14B9" w14:textId="77777777" w:rsidR="00A003D3" w:rsidRDefault="00A003D3">
            <w:r>
              <w:rPr>
                <w:b/>
                <w:sz w:val="18"/>
              </w:rPr>
              <w:t>Scénarios de modèle économique</w:t>
            </w:r>
          </w:p>
        </w:tc>
      </w:tr>
      <w:tr w:rsidR="00A003D3" w:rsidRPr="00A003D3" w14:paraId="4D40D07F" w14:textId="77777777" w:rsidTr="00A003D3">
        <w:trPr>
          <w:jc w:val="center"/>
        </w:trPr>
        <w:tc>
          <w:tcPr>
            <w:tcW w:w="1264" w:type="dxa"/>
            <w:tcMar>
              <w:top w:w="110" w:type="dxa"/>
              <w:left w:w="120" w:type="dxa"/>
              <w:bottom w:w="110" w:type="dxa"/>
              <w:right w:w="120" w:type="dxa"/>
            </w:tcMar>
            <w:vAlign w:val="center"/>
          </w:tcPr>
          <w:p w14:paraId="67F00038" w14:textId="77777777" w:rsidR="00A003D3" w:rsidRDefault="00A003D3">
            <w:pPr>
              <w:jc w:val="center"/>
            </w:pPr>
            <w:r>
              <w:rPr>
                <w:b/>
                <w:sz w:val="18"/>
              </w:rPr>
              <w:t>6</w:t>
            </w:r>
          </w:p>
        </w:tc>
        <w:tc>
          <w:tcPr>
            <w:tcW w:w="3249" w:type="dxa"/>
            <w:tcMar>
              <w:top w:w="110" w:type="dxa"/>
              <w:left w:w="120" w:type="dxa"/>
              <w:bottom w:w="110" w:type="dxa"/>
              <w:right w:w="120" w:type="dxa"/>
            </w:tcMar>
            <w:vAlign w:val="center"/>
          </w:tcPr>
          <w:p w14:paraId="7D4546A5" w14:textId="77777777" w:rsidR="00A003D3" w:rsidRDefault="00A003D3">
            <w:r>
              <w:rPr>
                <w:b/>
                <w:sz w:val="18"/>
              </w:rPr>
              <w:t>Étude de faisabilité ciblée</w:t>
            </w:r>
          </w:p>
        </w:tc>
      </w:tr>
      <w:tr w:rsidR="00A003D3" w:rsidRPr="00A003D3" w14:paraId="4750F3A8" w14:textId="77777777" w:rsidTr="00A003D3">
        <w:trPr>
          <w:jc w:val="center"/>
        </w:trPr>
        <w:tc>
          <w:tcPr>
            <w:tcW w:w="1264" w:type="dxa"/>
            <w:tcMar>
              <w:top w:w="110" w:type="dxa"/>
              <w:left w:w="120" w:type="dxa"/>
              <w:bottom w:w="110" w:type="dxa"/>
              <w:right w:w="120" w:type="dxa"/>
            </w:tcMar>
            <w:vAlign w:val="center"/>
          </w:tcPr>
          <w:p w14:paraId="4A8B714D" w14:textId="77777777" w:rsidR="00A003D3" w:rsidRDefault="00A003D3">
            <w:pPr>
              <w:jc w:val="center"/>
            </w:pPr>
            <w:r>
              <w:rPr>
                <w:b/>
                <w:sz w:val="18"/>
              </w:rPr>
              <w:t>7</w:t>
            </w:r>
          </w:p>
        </w:tc>
        <w:tc>
          <w:tcPr>
            <w:tcW w:w="3249" w:type="dxa"/>
            <w:tcMar>
              <w:top w:w="110" w:type="dxa"/>
              <w:left w:w="120" w:type="dxa"/>
              <w:bottom w:w="110" w:type="dxa"/>
              <w:right w:w="120" w:type="dxa"/>
            </w:tcMar>
            <w:vAlign w:val="center"/>
          </w:tcPr>
          <w:p w14:paraId="628676A8" w14:textId="77777777" w:rsidR="00A003D3" w:rsidRDefault="00A003D3">
            <w:r>
              <w:rPr>
                <w:b/>
                <w:sz w:val="18"/>
              </w:rPr>
              <w:t>Projections financières</w:t>
            </w:r>
          </w:p>
        </w:tc>
      </w:tr>
      <w:tr w:rsidR="00A003D3" w:rsidRPr="00411F32" w14:paraId="62FF989B" w14:textId="77777777" w:rsidTr="00A003D3">
        <w:trPr>
          <w:jc w:val="center"/>
        </w:trPr>
        <w:tc>
          <w:tcPr>
            <w:tcW w:w="1264" w:type="dxa"/>
            <w:tcMar>
              <w:top w:w="110" w:type="dxa"/>
              <w:left w:w="120" w:type="dxa"/>
              <w:bottom w:w="110" w:type="dxa"/>
              <w:right w:w="120" w:type="dxa"/>
            </w:tcMar>
            <w:vAlign w:val="center"/>
          </w:tcPr>
          <w:p w14:paraId="07A05F7B" w14:textId="77777777" w:rsidR="00A003D3" w:rsidRDefault="00A003D3">
            <w:pPr>
              <w:jc w:val="center"/>
            </w:pPr>
            <w:r>
              <w:rPr>
                <w:b/>
                <w:sz w:val="18"/>
              </w:rPr>
              <w:t>8</w:t>
            </w:r>
          </w:p>
        </w:tc>
        <w:tc>
          <w:tcPr>
            <w:tcW w:w="3249" w:type="dxa"/>
            <w:tcMar>
              <w:top w:w="110" w:type="dxa"/>
              <w:left w:w="120" w:type="dxa"/>
              <w:bottom w:w="110" w:type="dxa"/>
              <w:right w:w="120" w:type="dxa"/>
            </w:tcMar>
            <w:vAlign w:val="center"/>
          </w:tcPr>
          <w:p w14:paraId="2E7BB74B" w14:textId="77777777" w:rsidR="00A003D3" w:rsidRPr="00A003D3" w:rsidRDefault="00A003D3">
            <w:pPr>
              <w:rPr>
                <w:lang w:val="fr-FR"/>
              </w:rPr>
            </w:pPr>
            <w:r w:rsidRPr="00A003D3">
              <w:rPr>
                <w:b/>
                <w:sz w:val="18"/>
                <w:lang w:val="fr-FR"/>
              </w:rPr>
              <w:t>Stratégie de durabilité de l’ATSR</w:t>
            </w:r>
          </w:p>
        </w:tc>
      </w:tr>
      <w:tr w:rsidR="00A003D3" w:rsidRPr="00411F32" w14:paraId="000235A3" w14:textId="77777777" w:rsidTr="00A003D3">
        <w:trPr>
          <w:jc w:val="center"/>
        </w:trPr>
        <w:tc>
          <w:tcPr>
            <w:tcW w:w="1264" w:type="dxa"/>
            <w:tcMar>
              <w:top w:w="110" w:type="dxa"/>
              <w:left w:w="120" w:type="dxa"/>
              <w:bottom w:w="110" w:type="dxa"/>
              <w:right w:w="120" w:type="dxa"/>
            </w:tcMar>
            <w:vAlign w:val="center"/>
          </w:tcPr>
          <w:p w14:paraId="028E4E79" w14:textId="77777777" w:rsidR="00A003D3" w:rsidRDefault="00A003D3">
            <w:pPr>
              <w:jc w:val="center"/>
            </w:pPr>
            <w:r>
              <w:rPr>
                <w:b/>
                <w:sz w:val="18"/>
              </w:rPr>
              <w:t>9</w:t>
            </w:r>
          </w:p>
        </w:tc>
        <w:tc>
          <w:tcPr>
            <w:tcW w:w="3249" w:type="dxa"/>
            <w:tcMar>
              <w:top w:w="110" w:type="dxa"/>
              <w:left w:w="120" w:type="dxa"/>
              <w:bottom w:w="110" w:type="dxa"/>
              <w:right w:w="120" w:type="dxa"/>
            </w:tcMar>
            <w:vAlign w:val="center"/>
          </w:tcPr>
          <w:p w14:paraId="28653B78" w14:textId="77777777" w:rsidR="00A003D3" w:rsidRPr="00A003D3" w:rsidRDefault="00A003D3">
            <w:pPr>
              <w:rPr>
                <w:lang w:val="fr-FR"/>
              </w:rPr>
            </w:pPr>
            <w:r w:rsidRPr="00A003D3">
              <w:rPr>
                <w:b/>
                <w:sz w:val="18"/>
                <w:lang w:val="fr-FR"/>
              </w:rPr>
              <w:t>Stratégie de mobilisation des ressources</w:t>
            </w:r>
          </w:p>
        </w:tc>
      </w:tr>
      <w:tr w:rsidR="00A003D3" w:rsidRPr="00A003D3" w14:paraId="2DFB055E" w14:textId="77777777" w:rsidTr="00A003D3">
        <w:trPr>
          <w:jc w:val="center"/>
        </w:trPr>
        <w:tc>
          <w:tcPr>
            <w:tcW w:w="1264" w:type="dxa"/>
            <w:tcMar>
              <w:top w:w="110" w:type="dxa"/>
              <w:left w:w="120" w:type="dxa"/>
              <w:bottom w:w="110" w:type="dxa"/>
              <w:right w:w="120" w:type="dxa"/>
            </w:tcMar>
            <w:vAlign w:val="center"/>
          </w:tcPr>
          <w:p w14:paraId="6FD05074" w14:textId="77777777" w:rsidR="00A003D3" w:rsidRDefault="00A003D3">
            <w:pPr>
              <w:jc w:val="center"/>
            </w:pPr>
            <w:r>
              <w:rPr>
                <w:b/>
                <w:sz w:val="18"/>
              </w:rPr>
              <w:t>10</w:t>
            </w:r>
          </w:p>
        </w:tc>
        <w:tc>
          <w:tcPr>
            <w:tcW w:w="3249" w:type="dxa"/>
            <w:tcMar>
              <w:top w:w="110" w:type="dxa"/>
              <w:left w:w="120" w:type="dxa"/>
              <w:bottom w:w="110" w:type="dxa"/>
              <w:right w:w="120" w:type="dxa"/>
            </w:tcMar>
            <w:vAlign w:val="center"/>
          </w:tcPr>
          <w:p w14:paraId="25AB72B9" w14:textId="77777777" w:rsidR="00A003D3" w:rsidRDefault="00A003D3">
            <w:r>
              <w:rPr>
                <w:b/>
                <w:sz w:val="18"/>
              </w:rPr>
              <w:t>Feuille de route opérationnelle</w:t>
            </w:r>
          </w:p>
        </w:tc>
      </w:tr>
      <w:tr w:rsidR="00A003D3" w:rsidRPr="00411F32" w14:paraId="2FE51036" w14:textId="77777777" w:rsidTr="00A003D3">
        <w:trPr>
          <w:jc w:val="center"/>
        </w:trPr>
        <w:tc>
          <w:tcPr>
            <w:tcW w:w="1264" w:type="dxa"/>
            <w:tcMar>
              <w:top w:w="110" w:type="dxa"/>
              <w:left w:w="120" w:type="dxa"/>
              <w:bottom w:w="110" w:type="dxa"/>
              <w:right w:w="120" w:type="dxa"/>
            </w:tcMar>
            <w:vAlign w:val="center"/>
          </w:tcPr>
          <w:p w14:paraId="1209B800" w14:textId="77777777" w:rsidR="00A003D3" w:rsidRDefault="00A003D3">
            <w:pPr>
              <w:jc w:val="center"/>
            </w:pPr>
            <w:r>
              <w:rPr>
                <w:b/>
                <w:sz w:val="18"/>
              </w:rPr>
              <w:t>11</w:t>
            </w:r>
          </w:p>
        </w:tc>
        <w:tc>
          <w:tcPr>
            <w:tcW w:w="3249" w:type="dxa"/>
            <w:tcMar>
              <w:top w:w="110" w:type="dxa"/>
              <w:left w:w="120" w:type="dxa"/>
              <w:bottom w:w="110" w:type="dxa"/>
              <w:right w:w="120" w:type="dxa"/>
            </w:tcMar>
            <w:vAlign w:val="center"/>
          </w:tcPr>
          <w:p w14:paraId="19E48B1B" w14:textId="77777777" w:rsidR="00A003D3" w:rsidRPr="00A003D3" w:rsidRDefault="00A003D3">
            <w:pPr>
              <w:rPr>
                <w:lang w:val="fr-FR"/>
              </w:rPr>
            </w:pPr>
            <w:r w:rsidRPr="00A003D3">
              <w:rPr>
                <w:b/>
                <w:sz w:val="18"/>
                <w:lang w:val="fr-FR"/>
              </w:rPr>
              <w:t>Supports et ateliers de renforcement des capacités</w:t>
            </w:r>
          </w:p>
        </w:tc>
      </w:tr>
      <w:tr w:rsidR="00A003D3" w:rsidRPr="00A003D3" w14:paraId="2B721D64" w14:textId="77777777" w:rsidTr="00A003D3">
        <w:trPr>
          <w:jc w:val="center"/>
        </w:trPr>
        <w:tc>
          <w:tcPr>
            <w:tcW w:w="1264" w:type="dxa"/>
            <w:tcMar>
              <w:top w:w="110" w:type="dxa"/>
              <w:left w:w="120" w:type="dxa"/>
              <w:bottom w:w="110" w:type="dxa"/>
              <w:right w:w="120" w:type="dxa"/>
            </w:tcMar>
            <w:vAlign w:val="center"/>
          </w:tcPr>
          <w:p w14:paraId="01ABB3F9" w14:textId="77777777" w:rsidR="00A003D3" w:rsidRDefault="00A003D3">
            <w:pPr>
              <w:jc w:val="center"/>
            </w:pPr>
            <w:r>
              <w:rPr>
                <w:b/>
                <w:sz w:val="18"/>
              </w:rPr>
              <w:t>12</w:t>
            </w:r>
          </w:p>
        </w:tc>
        <w:tc>
          <w:tcPr>
            <w:tcW w:w="3249" w:type="dxa"/>
            <w:tcMar>
              <w:top w:w="110" w:type="dxa"/>
              <w:left w:w="120" w:type="dxa"/>
              <w:bottom w:w="110" w:type="dxa"/>
              <w:right w:w="120" w:type="dxa"/>
            </w:tcMar>
            <w:vAlign w:val="center"/>
          </w:tcPr>
          <w:p w14:paraId="33240E75" w14:textId="77777777" w:rsidR="00A003D3" w:rsidRDefault="00A003D3">
            <w:r>
              <w:rPr>
                <w:b/>
                <w:sz w:val="18"/>
              </w:rPr>
              <w:t>Rapport final de mission</w:t>
            </w:r>
          </w:p>
        </w:tc>
      </w:tr>
    </w:tbl>
    <w:p w14:paraId="53DE5C18" w14:textId="77777777" w:rsidR="00412538" w:rsidRPr="00A003D3" w:rsidRDefault="00933454">
      <w:pPr>
        <w:pStyle w:val="Titre1"/>
        <w:rPr>
          <w:lang w:val="fr-FR"/>
        </w:rPr>
      </w:pPr>
      <w:r w:rsidRPr="00A003D3">
        <w:rPr>
          <w:lang w:val="fr-FR"/>
        </w:rPr>
        <w:t>7. Feuille de route attendue</w:t>
      </w:r>
    </w:p>
    <w:p w14:paraId="147FEB99" w14:textId="77777777" w:rsidR="00412538" w:rsidRPr="00A003D3" w:rsidRDefault="00933454">
      <w:pPr>
        <w:jc w:val="both"/>
        <w:rPr>
          <w:lang w:val="fr-FR"/>
        </w:rPr>
      </w:pPr>
      <w:r w:rsidRPr="00A003D3">
        <w:rPr>
          <w:lang w:val="fr-FR"/>
        </w:rPr>
        <w:t>La stratégie devra être accompagnée d’une feuille de route opérationnelle distinguant les actions immédiates, les actions à moyen terme, les activités nécessitant un investissement préalable et les éventuelles adaptations organisationnelles ou juridiques.</w:t>
      </w:r>
    </w:p>
    <w:p w14:paraId="1BFF5032" w14:textId="77777777" w:rsidR="00412538" w:rsidRPr="00411F32" w:rsidRDefault="00933454">
      <w:pPr>
        <w:pStyle w:val="Titre1"/>
        <w:rPr>
          <w:lang w:val="fr-FR"/>
        </w:rPr>
      </w:pPr>
      <w:r w:rsidRPr="00411F32">
        <w:rPr>
          <w:lang w:val="fr-FR"/>
        </w:rPr>
        <w:t>8. Durée et calendrier indicatif</w:t>
      </w:r>
    </w:p>
    <w:p w14:paraId="2CB457D2" w14:textId="77777777" w:rsidR="00412538" w:rsidRPr="00A003D3" w:rsidRDefault="00933454">
      <w:pPr>
        <w:jc w:val="both"/>
        <w:rPr>
          <w:lang w:val="fr-FR"/>
        </w:rPr>
      </w:pPr>
      <w:r w:rsidRPr="00A003D3">
        <w:rPr>
          <w:lang w:val="fr-FR"/>
        </w:rPr>
        <w:t>Compte tenu de l’étendue de la mission, une durée indicative de 25 à 30 jours de travail est proposée, répartie sur une période de deux à trois mois. La mission pourra être réalisée entre octobre et décembre 2026. Le calendrier définitif et la répartition des jours seront convenus entre l’ATSR et le/la prestataire retenu(e).</w:t>
      </w:r>
    </w:p>
    <w:p w14:paraId="1D99DBF9" w14:textId="77777777" w:rsidR="00412538" w:rsidRPr="00A003D3" w:rsidRDefault="00933454">
      <w:pPr>
        <w:jc w:val="both"/>
        <w:rPr>
          <w:lang w:val="fr-FR"/>
        </w:rPr>
      </w:pPr>
      <w:r w:rsidRPr="00A003D3">
        <w:rPr>
          <w:lang w:val="fr-FR"/>
        </w:rPr>
        <w:t>Les candidat(e)s sont invité(e)s à proposer un chronogramme détaillé tenant compte des principales étapes de diagnostic, consultation, analyse, modélisation, validation et restitution.</w:t>
      </w:r>
    </w:p>
    <w:p w14:paraId="32989A47" w14:textId="77777777" w:rsidR="00412538" w:rsidRPr="00A003D3" w:rsidRDefault="00933454">
      <w:pPr>
        <w:pStyle w:val="Titre1"/>
        <w:rPr>
          <w:lang w:val="fr-FR"/>
        </w:rPr>
      </w:pPr>
      <w:r w:rsidRPr="00A003D3">
        <w:rPr>
          <w:lang w:val="fr-FR"/>
        </w:rPr>
        <w:t>9. Profil recherché</w:t>
      </w:r>
    </w:p>
    <w:p w14:paraId="23635FD3" w14:textId="77777777" w:rsidR="00412538" w:rsidRPr="00A003D3" w:rsidRDefault="00933454">
      <w:pPr>
        <w:jc w:val="both"/>
        <w:rPr>
          <w:lang w:val="fr-FR"/>
        </w:rPr>
      </w:pPr>
      <w:r w:rsidRPr="00A003D3">
        <w:rPr>
          <w:lang w:val="fr-FR"/>
        </w:rPr>
        <w:t>La consultation est ouverte à un(e) consultant(e) individuel(le), un groupement de consultant(e)s ou un cabinet disposant d’une expérience démontrée dans les domaines couverts par la mission.</w:t>
      </w:r>
    </w:p>
    <w:p w14:paraId="365FE6D0" w14:textId="77777777" w:rsidR="00412538" w:rsidRPr="00A003D3" w:rsidRDefault="00933454">
      <w:pPr>
        <w:pStyle w:val="Listepuces"/>
        <w:spacing w:after="50"/>
        <w:rPr>
          <w:lang w:val="fr-FR"/>
        </w:rPr>
      </w:pPr>
      <w:r w:rsidRPr="00A003D3">
        <w:rPr>
          <w:sz w:val="20"/>
          <w:lang w:val="fr-FR"/>
        </w:rPr>
        <w:t>Formation supérieure en économie, gestion, finance, stratégie, développement organisationnel, entrepreneuriat social, droit ou domaine pertinent.</w:t>
      </w:r>
    </w:p>
    <w:p w14:paraId="18268624" w14:textId="77777777" w:rsidR="00412538" w:rsidRPr="00A003D3" w:rsidRDefault="00933454">
      <w:pPr>
        <w:pStyle w:val="Listepuces"/>
        <w:spacing w:after="50"/>
        <w:rPr>
          <w:lang w:val="fr-FR"/>
        </w:rPr>
      </w:pPr>
      <w:r w:rsidRPr="00A003D3">
        <w:rPr>
          <w:sz w:val="20"/>
          <w:lang w:val="fr-FR"/>
        </w:rPr>
        <w:t>Expérience confirmée dans l’élaboration de stratégies de durabilité, de modèles économiques ou de stratégies de mobilisation de ressources.</w:t>
      </w:r>
    </w:p>
    <w:p w14:paraId="18F4DEFC" w14:textId="77777777" w:rsidR="00412538" w:rsidRPr="00A003D3" w:rsidRDefault="00933454">
      <w:pPr>
        <w:pStyle w:val="Listepuces"/>
        <w:spacing w:after="50"/>
        <w:rPr>
          <w:lang w:val="fr-FR"/>
        </w:rPr>
      </w:pPr>
      <w:r w:rsidRPr="00A003D3">
        <w:rPr>
          <w:sz w:val="20"/>
          <w:lang w:val="fr-FR"/>
        </w:rPr>
        <w:t>Expérience significative dans l’accompagnement des organisations de la société civile et/ou des organisations à vocation sociale.</w:t>
      </w:r>
    </w:p>
    <w:p w14:paraId="051B1D1A" w14:textId="77777777" w:rsidR="00412538" w:rsidRPr="00A003D3" w:rsidRDefault="00933454">
      <w:pPr>
        <w:pStyle w:val="Listepuces"/>
        <w:spacing w:after="50"/>
        <w:rPr>
          <w:lang w:val="fr-FR"/>
        </w:rPr>
      </w:pPr>
      <w:r w:rsidRPr="00A003D3">
        <w:rPr>
          <w:sz w:val="20"/>
          <w:lang w:val="fr-FR"/>
        </w:rPr>
        <w:t xml:space="preserve">Compétences démontrées en analyse financière, business </w:t>
      </w:r>
      <w:proofErr w:type="spellStart"/>
      <w:r w:rsidRPr="00A003D3">
        <w:rPr>
          <w:sz w:val="20"/>
          <w:lang w:val="fr-FR"/>
        </w:rPr>
        <w:t>modelling</w:t>
      </w:r>
      <w:proofErr w:type="spellEnd"/>
      <w:r w:rsidRPr="00A003D3">
        <w:rPr>
          <w:sz w:val="20"/>
          <w:lang w:val="fr-FR"/>
        </w:rPr>
        <w:t xml:space="preserve"> et projections économiques.</w:t>
      </w:r>
    </w:p>
    <w:p w14:paraId="7C3820B8" w14:textId="77777777" w:rsidR="00412538" w:rsidRPr="00A003D3" w:rsidRDefault="00933454">
      <w:pPr>
        <w:pStyle w:val="Listepuces"/>
        <w:spacing w:after="50"/>
        <w:rPr>
          <w:lang w:val="fr-FR"/>
        </w:rPr>
      </w:pPr>
      <w:r w:rsidRPr="00A003D3">
        <w:rPr>
          <w:sz w:val="20"/>
          <w:lang w:val="fr-FR"/>
        </w:rPr>
        <w:t>Connaissance de l’économie sociale et solidaire et/ou de l’entrepreneuriat social.</w:t>
      </w:r>
    </w:p>
    <w:p w14:paraId="104C2E7B" w14:textId="77777777" w:rsidR="00412538" w:rsidRPr="00A003D3" w:rsidRDefault="00933454">
      <w:pPr>
        <w:pStyle w:val="Listepuces"/>
        <w:spacing w:after="50"/>
        <w:rPr>
          <w:lang w:val="fr-FR"/>
        </w:rPr>
      </w:pPr>
      <w:r w:rsidRPr="00A003D3">
        <w:rPr>
          <w:sz w:val="20"/>
          <w:lang w:val="fr-FR"/>
        </w:rPr>
        <w:lastRenderedPageBreak/>
        <w:t>Bonne connaissance de l’environnement associatif tunisien et du cadre juridique et fiscal applicable aux associations et aux entreprises.</w:t>
      </w:r>
    </w:p>
    <w:p w14:paraId="559FCD12" w14:textId="77777777" w:rsidR="00412538" w:rsidRPr="00A003D3" w:rsidRDefault="00933454">
      <w:pPr>
        <w:pStyle w:val="Listepuces"/>
        <w:spacing w:after="50"/>
        <w:rPr>
          <w:lang w:val="fr-FR"/>
        </w:rPr>
      </w:pPr>
      <w:r w:rsidRPr="00A003D3">
        <w:rPr>
          <w:sz w:val="20"/>
          <w:lang w:val="fr-FR"/>
        </w:rPr>
        <w:t>Excellentes capacités d’analyse, de facilitation, de communication et de rédaction.</w:t>
      </w:r>
    </w:p>
    <w:p w14:paraId="6E8B01B4" w14:textId="77777777" w:rsidR="00412538" w:rsidRPr="00A003D3" w:rsidRDefault="00933454">
      <w:pPr>
        <w:jc w:val="both"/>
        <w:rPr>
          <w:lang w:val="fr-FR"/>
        </w:rPr>
      </w:pPr>
      <w:r w:rsidRPr="00A003D3">
        <w:rPr>
          <w:lang w:val="fr-FR"/>
        </w:rPr>
        <w:t xml:space="preserve">Une connaissance des secteurs de la santé, des droits humains, de la jeunesse, de la santé sexuelle et reproductive ou du développement social constituera un atout. Dans le cas d’un cabinet ou d’un groupement, l’équipe devra présenter une combinaison adéquate d’expertises en stratégie, finance/business </w:t>
      </w:r>
      <w:proofErr w:type="spellStart"/>
      <w:r w:rsidRPr="00A003D3">
        <w:rPr>
          <w:lang w:val="fr-FR"/>
        </w:rPr>
        <w:t>modelling</w:t>
      </w:r>
      <w:proofErr w:type="spellEnd"/>
      <w:r w:rsidRPr="00A003D3">
        <w:rPr>
          <w:lang w:val="fr-FR"/>
        </w:rPr>
        <w:t>, mobilisation des ressources, entrepreneuriat social et droit/fiscalité.</w:t>
      </w:r>
    </w:p>
    <w:p w14:paraId="65CD523F" w14:textId="77777777" w:rsidR="00412538" w:rsidRDefault="00933454">
      <w:pPr>
        <w:pStyle w:val="Titre1"/>
      </w:pPr>
      <w:r>
        <w:t>10. Dossier de candidature</w:t>
      </w:r>
    </w:p>
    <w:p w14:paraId="10D91E78" w14:textId="77777777" w:rsidR="00412538" w:rsidRPr="00A003D3" w:rsidRDefault="00933454">
      <w:pPr>
        <w:pStyle w:val="Listepuces"/>
        <w:spacing w:after="50"/>
        <w:rPr>
          <w:lang w:val="fr-FR"/>
        </w:rPr>
      </w:pPr>
      <w:r w:rsidRPr="00A003D3">
        <w:rPr>
          <w:sz w:val="20"/>
          <w:lang w:val="fr-FR"/>
        </w:rPr>
        <w:t>Une offre technique présentant la compréhension de la mission et la méthodologie proposée.</w:t>
      </w:r>
    </w:p>
    <w:p w14:paraId="7472A46D" w14:textId="77777777" w:rsidR="00412538" w:rsidRPr="00A003D3" w:rsidRDefault="00933454">
      <w:pPr>
        <w:pStyle w:val="Listepuces"/>
        <w:spacing w:after="50"/>
        <w:rPr>
          <w:lang w:val="fr-FR"/>
        </w:rPr>
      </w:pPr>
      <w:r w:rsidRPr="00A003D3">
        <w:rPr>
          <w:sz w:val="20"/>
          <w:lang w:val="fr-FR"/>
        </w:rPr>
        <w:t>Un chronogramme détaillé de réalisation.</w:t>
      </w:r>
    </w:p>
    <w:p w14:paraId="6D1AEAB2" w14:textId="77777777" w:rsidR="00412538" w:rsidRPr="00A003D3" w:rsidRDefault="00933454">
      <w:pPr>
        <w:pStyle w:val="Listepuces"/>
        <w:spacing w:after="50"/>
        <w:rPr>
          <w:lang w:val="fr-FR"/>
        </w:rPr>
      </w:pPr>
      <w:r w:rsidRPr="00A003D3">
        <w:rPr>
          <w:sz w:val="20"/>
          <w:lang w:val="fr-FR"/>
        </w:rPr>
        <w:t>La composition de l’équipe proposée et les CV du/de la consultant(e) et/ou des principaux experts.</w:t>
      </w:r>
    </w:p>
    <w:p w14:paraId="3CAAADAB" w14:textId="77777777" w:rsidR="00412538" w:rsidRPr="00A003D3" w:rsidRDefault="00933454">
      <w:pPr>
        <w:pStyle w:val="Listepuces"/>
        <w:spacing w:after="50"/>
        <w:rPr>
          <w:lang w:val="fr-FR"/>
        </w:rPr>
      </w:pPr>
      <w:r w:rsidRPr="00A003D3">
        <w:rPr>
          <w:sz w:val="20"/>
          <w:lang w:val="fr-FR"/>
        </w:rPr>
        <w:t>Au moins deux références de missions similaires ou comparables.</w:t>
      </w:r>
    </w:p>
    <w:p w14:paraId="7AD54E76" w14:textId="77777777" w:rsidR="00412538" w:rsidRPr="00A003D3" w:rsidRDefault="00933454">
      <w:pPr>
        <w:pStyle w:val="Listepuces"/>
        <w:spacing w:after="50"/>
        <w:rPr>
          <w:lang w:val="fr-FR"/>
        </w:rPr>
      </w:pPr>
      <w:r w:rsidRPr="00A003D3">
        <w:rPr>
          <w:sz w:val="20"/>
          <w:lang w:val="fr-FR"/>
        </w:rPr>
        <w:t>Lorsque disponibles, des exemples de travaux ou livrables pertinents.</w:t>
      </w:r>
    </w:p>
    <w:p w14:paraId="643000CC" w14:textId="77777777" w:rsidR="00412538" w:rsidRPr="00A003D3" w:rsidRDefault="00933454">
      <w:pPr>
        <w:pStyle w:val="Listepuces"/>
        <w:spacing w:after="50"/>
        <w:rPr>
          <w:lang w:val="fr-FR"/>
        </w:rPr>
      </w:pPr>
      <w:r w:rsidRPr="00A003D3">
        <w:rPr>
          <w:sz w:val="20"/>
          <w:lang w:val="fr-FR"/>
        </w:rPr>
        <w:t>Une offre financière détaillée précisant les honoraires et les autres coûts éventuels.</w:t>
      </w:r>
    </w:p>
    <w:p w14:paraId="209B7CBC" w14:textId="77777777" w:rsidR="00412538" w:rsidRDefault="00933454">
      <w:pPr>
        <w:pStyle w:val="Titre1"/>
      </w:pPr>
      <w:r>
        <w:t>11. Critères d’évaluation des offres</w:t>
      </w:r>
    </w:p>
    <w:tbl>
      <w:tblPr>
        <w:tblW w:w="10291" w:type="dxa"/>
        <w:jc w:val="center"/>
        <w:tblLayout w:type="fixed"/>
        <w:tblLook w:val="04A0" w:firstRow="1" w:lastRow="0" w:firstColumn="1" w:lastColumn="0" w:noHBand="0" w:noVBand="1"/>
      </w:tblPr>
      <w:tblGrid>
        <w:gridCol w:w="6098"/>
        <w:gridCol w:w="4193"/>
      </w:tblGrid>
      <w:tr w:rsidR="00412538" w14:paraId="259B5CC5" w14:textId="77777777" w:rsidTr="00A003D3">
        <w:trPr>
          <w:trHeight w:val="352"/>
          <w:tblHeader/>
          <w:jc w:val="center"/>
        </w:trPr>
        <w:tc>
          <w:tcPr>
            <w:tcW w:w="6098" w:type="dxa"/>
            <w:shd w:val="clear" w:color="auto" w:fill="277642"/>
            <w:tcMar>
              <w:top w:w="110" w:type="dxa"/>
              <w:left w:w="120" w:type="dxa"/>
              <w:bottom w:w="110" w:type="dxa"/>
              <w:right w:w="120" w:type="dxa"/>
            </w:tcMar>
          </w:tcPr>
          <w:p w14:paraId="080CFDFC" w14:textId="77777777" w:rsidR="00412538" w:rsidRDefault="00933454">
            <w:pPr>
              <w:jc w:val="center"/>
            </w:pPr>
            <w:r>
              <w:rPr>
                <w:b/>
                <w:color w:val="FFFFFF"/>
              </w:rPr>
              <w:t>Critère</w:t>
            </w:r>
          </w:p>
        </w:tc>
        <w:tc>
          <w:tcPr>
            <w:tcW w:w="4193" w:type="dxa"/>
            <w:shd w:val="clear" w:color="auto" w:fill="277642"/>
            <w:tcMar>
              <w:top w:w="110" w:type="dxa"/>
              <w:left w:w="120" w:type="dxa"/>
              <w:bottom w:w="110" w:type="dxa"/>
              <w:right w:w="120" w:type="dxa"/>
            </w:tcMar>
          </w:tcPr>
          <w:p w14:paraId="75785D2C" w14:textId="77777777" w:rsidR="00412538" w:rsidRDefault="00933454">
            <w:pPr>
              <w:jc w:val="center"/>
            </w:pPr>
            <w:r>
              <w:rPr>
                <w:b/>
                <w:color w:val="FFFFFF"/>
              </w:rPr>
              <w:t>Pondération</w:t>
            </w:r>
          </w:p>
        </w:tc>
      </w:tr>
      <w:tr w:rsidR="00412538" w14:paraId="0E1D2594" w14:textId="77777777" w:rsidTr="00A003D3">
        <w:trPr>
          <w:trHeight w:val="325"/>
          <w:jc w:val="center"/>
        </w:trPr>
        <w:tc>
          <w:tcPr>
            <w:tcW w:w="6098" w:type="dxa"/>
            <w:tcMar>
              <w:top w:w="100" w:type="dxa"/>
              <w:left w:w="120" w:type="dxa"/>
              <w:bottom w:w="100" w:type="dxa"/>
              <w:right w:w="120" w:type="dxa"/>
            </w:tcMar>
            <w:vAlign w:val="center"/>
          </w:tcPr>
          <w:p w14:paraId="5442A7BD" w14:textId="77777777" w:rsidR="00412538" w:rsidRDefault="00933454">
            <w:r>
              <w:t>Compréhension de la mission</w:t>
            </w:r>
          </w:p>
        </w:tc>
        <w:tc>
          <w:tcPr>
            <w:tcW w:w="4193" w:type="dxa"/>
            <w:tcMar>
              <w:top w:w="100" w:type="dxa"/>
              <w:left w:w="120" w:type="dxa"/>
              <w:bottom w:w="100" w:type="dxa"/>
              <w:right w:w="120" w:type="dxa"/>
            </w:tcMar>
            <w:vAlign w:val="center"/>
          </w:tcPr>
          <w:p w14:paraId="1C29E404" w14:textId="77777777" w:rsidR="00412538" w:rsidRDefault="00933454">
            <w:pPr>
              <w:jc w:val="center"/>
            </w:pPr>
            <w:r>
              <w:rPr>
                <w:b/>
              </w:rPr>
              <w:t>10 %</w:t>
            </w:r>
          </w:p>
        </w:tc>
      </w:tr>
      <w:tr w:rsidR="00412538" w14:paraId="771E3CD1" w14:textId="77777777" w:rsidTr="00A003D3">
        <w:trPr>
          <w:trHeight w:val="339"/>
          <w:jc w:val="center"/>
        </w:trPr>
        <w:tc>
          <w:tcPr>
            <w:tcW w:w="6098" w:type="dxa"/>
            <w:tcMar>
              <w:top w:w="100" w:type="dxa"/>
              <w:left w:w="120" w:type="dxa"/>
              <w:bottom w:w="100" w:type="dxa"/>
              <w:right w:w="120" w:type="dxa"/>
            </w:tcMar>
            <w:vAlign w:val="center"/>
          </w:tcPr>
          <w:p w14:paraId="0F37541E" w14:textId="77777777" w:rsidR="00412538" w:rsidRPr="00A003D3" w:rsidRDefault="00933454">
            <w:pPr>
              <w:rPr>
                <w:lang w:val="fr-FR"/>
              </w:rPr>
            </w:pPr>
            <w:r w:rsidRPr="00A003D3">
              <w:rPr>
                <w:lang w:val="fr-FR"/>
              </w:rPr>
              <w:t>Qualité et pertinence de l’approche méthodologique</w:t>
            </w:r>
          </w:p>
        </w:tc>
        <w:tc>
          <w:tcPr>
            <w:tcW w:w="4193" w:type="dxa"/>
            <w:tcMar>
              <w:top w:w="100" w:type="dxa"/>
              <w:left w:w="120" w:type="dxa"/>
              <w:bottom w:w="100" w:type="dxa"/>
              <w:right w:w="120" w:type="dxa"/>
            </w:tcMar>
            <w:vAlign w:val="center"/>
          </w:tcPr>
          <w:p w14:paraId="58A2C2F6" w14:textId="77777777" w:rsidR="00412538" w:rsidRDefault="00933454">
            <w:pPr>
              <w:jc w:val="center"/>
            </w:pPr>
            <w:r>
              <w:rPr>
                <w:b/>
              </w:rPr>
              <w:t>25 %</w:t>
            </w:r>
          </w:p>
        </w:tc>
      </w:tr>
      <w:tr w:rsidR="00412538" w14:paraId="4A1C08EF" w14:textId="77777777" w:rsidTr="00A003D3">
        <w:trPr>
          <w:trHeight w:val="325"/>
          <w:jc w:val="center"/>
        </w:trPr>
        <w:tc>
          <w:tcPr>
            <w:tcW w:w="6098" w:type="dxa"/>
            <w:tcMar>
              <w:top w:w="100" w:type="dxa"/>
              <w:left w:w="120" w:type="dxa"/>
              <w:bottom w:w="100" w:type="dxa"/>
              <w:right w:w="120" w:type="dxa"/>
            </w:tcMar>
            <w:vAlign w:val="center"/>
          </w:tcPr>
          <w:p w14:paraId="5E101BE1" w14:textId="77777777" w:rsidR="00412538" w:rsidRPr="00A003D3" w:rsidRDefault="00933454">
            <w:pPr>
              <w:rPr>
                <w:lang w:val="fr-FR"/>
              </w:rPr>
            </w:pPr>
            <w:r w:rsidRPr="00A003D3">
              <w:rPr>
                <w:lang w:val="fr-FR"/>
              </w:rPr>
              <w:t>Expérience en stratégie de durabilité et modèles économiques</w:t>
            </w:r>
          </w:p>
        </w:tc>
        <w:tc>
          <w:tcPr>
            <w:tcW w:w="4193" w:type="dxa"/>
            <w:tcMar>
              <w:top w:w="100" w:type="dxa"/>
              <w:left w:w="120" w:type="dxa"/>
              <w:bottom w:w="100" w:type="dxa"/>
              <w:right w:w="120" w:type="dxa"/>
            </w:tcMar>
            <w:vAlign w:val="center"/>
          </w:tcPr>
          <w:p w14:paraId="2B0A6D9E" w14:textId="77777777" w:rsidR="00412538" w:rsidRDefault="00933454">
            <w:pPr>
              <w:jc w:val="center"/>
            </w:pPr>
            <w:r>
              <w:rPr>
                <w:b/>
              </w:rPr>
              <w:t>20 %</w:t>
            </w:r>
          </w:p>
        </w:tc>
      </w:tr>
      <w:tr w:rsidR="00412538" w14:paraId="2E7B15BC" w14:textId="77777777" w:rsidTr="00A003D3">
        <w:trPr>
          <w:trHeight w:val="339"/>
          <w:jc w:val="center"/>
        </w:trPr>
        <w:tc>
          <w:tcPr>
            <w:tcW w:w="6098" w:type="dxa"/>
            <w:tcMar>
              <w:top w:w="100" w:type="dxa"/>
              <w:left w:w="120" w:type="dxa"/>
              <w:bottom w:w="100" w:type="dxa"/>
              <w:right w:w="120" w:type="dxa"/>
            </w:tcMar>
            <w:vAlign w:val="center"/>
          </w:tcPr>
          <w:p w14:paraId="308F9E0E" w14:textId="77777777" w:rsidR="00412538" w:rsidRPr="00A003D3" w:rsidRDefault="00933454">
            <w:pPr>
              <w:rPr>
                <w:lang w:val="fr-FR"/>
              </w:rPr>
            </w:pPr>
            <w:r w:rsidRPr="00A003D3">
              <w:rPr>
                <w:lang w:val="fr-FR"/>
              </w:rPr>
              <w:t>Expérience avec les OSC / associations</w:t>
            </w:r>
          </w:p>
        </w:tc>
        <w:tc>
          <w:tcPr>
            <w:tcW w:w="4193" w:type="dxa"/>
            <w:tcMar>
              <w:top w:w="100" w:type="dxa"/>
              <w:left w:w="120" w:type="dxa"/>
              <w:bottom w:w="100" w:type="dxa"/>
              <w:right w:w="120" w:type="dxa"/>
            </w:tcMar>
            <w:vAlign w:val="center"/>
          </w:tcPr>
          <w:p w14:paraId="10AF41C6" w14:textId="77777777" w:rsidR="00412538" w:rsidRDefault="00933454">
            <w:pPr>
              <w:jc w:val="center"/>
            </w:pPr>
            <w:r>
              <w:rPr>
                <w:b/>
              </w:rPr>
              <w:t>10 %</w:t>
            </w:r>
          </w:p>
        </w:tc>
      </w:tr>
      <w:tr w:rsidR="00412538" w14:paraId="183F4E2B" w14:textId="77777777" w:rsidTr="00A003D3">
        <w:trPr>
          <w:trHeight w:val="325"/>
          <w:jc w:val="center"/>
        </w:trPr>
        <w:tc>
          <w:tcPr>
            <w:tcW w:w="6098" w:type="dxa"/>
            <w:tcMar>
              <w:top w:w="100" w:type="dxa"/>
              <w:left w:w="120" w:type="dxa"/>
              <w:bottom w:w="100" w:type="dxa"/>
              <w:right w:w="120" w:type="dxa"/>
            </w:tcMar>
            <w:vAlign w:val="center"/>
          </w:tcPr>
          <w:p w14:paraId="42FD87BE" w14:textId="77777777" w:rsidR="00412538" w:rsidRDefault="00933454">
            <w:r>
              <w:t>Expertise financière et business modelling</w:t>
            </w:r>
          </w:p>
        </w:tc>
        <w:tc>
          <w:tcPr>
            <w:tcW w:w="4193" w:type="dxa"/>
            <w:tcMar>
              <w:top w:w="100" w:type="dxa"/>
              <w:left w:w="120" w:type="dxa"/>
              <w:bottom w:w="100" w:type="dxa"/>
              <w:right w:w="120" w:type="dxa"/>
            </w:tcMar>
            <w:vAlign w:val="center"/>
          </w:tcPr>
          <w:p w14:paraId="134D5194" w14:textId="77777777" w:rsidR="00412538" w:rsidRDefault="00933454">
            <w:pPr>
              <w:jc w:val="center"/>
            </w:pPr>
            <w:r>
              <w:rPr>
                <w:b/>
              </w:rPr>
              <w:t>10 %</w:t>
            </w:r>
          </w:p>
        </w:tc>
      </w:tr>
      <w:tr w:rsidR="00412538" w14:paraId="2657E29C" w14:textId="77777777" w:rsidTr="00A003D3">
        <w:trPr>
          <w:trHeight w:val="325"/>
          <w:jc w:val="center"/>
        </w:trPr>
        <w:tc>
          <w:tcPr>
            <w:tcW w:w="6098" w:type="dxa"/>
            <w:tcMar>
              <w:top w:w="100" w:type="dxa"/>
              <w:left w:w="120" w:type="dxa"/>
              <w:bottom w:w="100" w:type="dxa"/>
              <w:right w:w="120" w:type="dxa"/>
            </w:tcMar>
            <w:vAlign w:val="center"/>
          </w:tcPr>
          <w:p w14:paraId="4FA69253" w14:textId="77777777" w:rsidR="00412538" w:rsidRPr="00A003D3" w:rsidRDefault="00933454">
            <w:pPr>
              <w:rPr>
                <w:lang w:val="fr-FR"/>
              </w:rPr>
            </w:pPr>
            <w:r w:rsidRPr="00A003D3">
              <w:rPr>
                <w:lang w:val="fr-FR"/>
              </w:rPr>
              <w:t>Expertise en mobilisation des ressources</w:t>
            </w:r>
          </w:p>
        </w:tc>
        <w:tc>
          <w:tcPr>
            <w:tcW w:w="4193" w:type="dxa"/>
            <w:tcMar>
              <w:top w:w="100" w:type="dxa"/>
              <w:left w:w="120" w:type="dxa"/>
              <w:bottom w:w="100" w:type="dxa"/>
              <w:right w:w="120" w:type="dxa"/>
            </w:tcMar>
            <w:vAlign w:val="center"/>
          </w:tcPr>
          <w:p w14:paraId="444857AA" w14:textId="77777777" w:rsidR="00412538" w:rsidRDefault="00933454">
            <w:pPr>
              <w:jc w:val="center"/>
            </w:pPr>
            <w:r>
              <w:rPr>
                <w:b/>
              </w:rPr>
              <w:t>10 %</w:t>
            </w:r>
          </w:p>
        </w:tc>
      </w:tr>
      <w:tr w:rsidR="00412538" w14:paraId="0CB54C26" w14:textId="77777777" w:rsidTr="00A003D3">
        <w:trPr>
          <w:trHeight w:val="339"/>
          <w:jc w:val="center"/>
        </w:trPr>
        <w:tc>
          <w:tcPr>
            <w:tcW w:w="6098" w:type="dxa"/>
            <w:tcMar>
              <w:top w:w="100" w:type="dxa"/>
              <w:left w:w="120" w:type="dxa"/>
              <w:bottom w:w="100" w:type="dxa"/>
              <w:right w:w="120" w:type="dxa"/>
            </w:tcMar>
            <w:vAlign w:val="center"/>
          </w:tcPr>
          <w:p w14:paraId="149D49F3" w14:textId="77777777" w:rsidR="00412538" w:rsidRPr="00A003D3" w:rsidRDefault="00933454">
            <w:pPr>
              <w:rPr>
                <w:lang w:val="fr-FR"/>
              </w:rPr>
            </w:pPr>
            <w:r w:rsidRPr="00A003D3">
              <w:rPr>
                <w:lang w:val="fr-FR"/>
              </w:rPr>
              <w:t>Qualité et complémentarité de l’équipe proposée</w:t>
            </w:r>
          </w:p>
        </w:tc>
        <w:tc>
          <w:tcPr>
            <w:tcW w:w="4193" w:type="dxa"/>
            <w:tcMar>
              <w:top w:w="100" w:type="dxa"/>
              <w:left w:w="120" w:type="dxa"/>
              <w:bottom w:w="100" w:type="dxa"/>
              <w:right w:w="120" w:type="dxa"/>
            </w:tcMar>
            <w:vAlign w:val="center"/>
          </w:tcPr>
          <w:p w14:paraId="712AA97E" w14:textId="77777777" w:rsidR="00412538" w:rsidRDefault="00933454">
            <w:pPr>
              <w:jc w:val="center"/>
            </w:pPr>
            <w:r>
              <w:rPr>
                <w:b/>
              </w:rPr>
              <w:t>5 %</w:t>
            </w:r>
          </w:p>
        </w:tc>
      </w:tr>
      <w:tr w:rsidR="00412538" w14:paraId="50CA8C79" w14:textId="77777777" w:rsidTr="00A003D3">
        <w:trPr>
          <w:trHeight w:val="325"/>
          <w:jc w:val="center"/>
        </w:trPr>
        <w:tc>
          <w:tcPr>
            <w:tcW w:w="6098" w:type="dxa"/>
            <w:tcMar>
              <w:top w:w="100" w:type="dxa"/>
              <w:left w:w="120" w:type="dxa"/>
              <w:bottom w:w="100" w:type="dxa"/>
              <w:right w:w="120" w:type="dxa"/>
            </w:tcMar>
            <w:vAlign w:val="center"/>
          </w:tcPr>
          <w:p w14:paraId="22370D92" w14:textId="77777777" w:rsidR="00412538" w:rsidRDefault="00933454">
            <w:r>
              <w:t>Offre financière</w:t>
            </w:r>
          </w:p>
        </w:tc>
        <w:tc>
          <w:tcPr>
            <w:tcW w:w="4193" w:type="dxa"/>
            <w:tcMar>
              <w:top w:w="100" w:type="dxa"/>
              <w:left w:w="120" w:type="dxa"/>
              <w:bottom w:w="100" w:type="dxa"/>
              <w:right w:w="120" w:type="dxa"/>
            </w:tcMar>
            <w:vAlign w:val="center"/>
          </w:tcPr>
          <w:p w14:paraId="3510639F" w14:textId="77777777" w:rsidR="00412538" w:rsidRDefault="00933454">
            <w:pPr>
              <w:jc w:val="center"/>
            </w:pPr>
            <w:r>
              <w:rPr>
                <w:b/>
              </w:rPr>
              <w:t>10 %</w:t>
            </w:r>
          </w:p>
        </w:tc>
      </w:tr>
      <w:tr w:rsidR="00412538" w14:paraId="77ABE150" w14:textId="77777777" w:rsidTr="00A003D3">
        <w:trPr>
          <w:trHeight w:val="352"/>
          <w:jc w:val="center"/>
        </w:trPr>
        <w:tc>
          <w:tcPr>
            <w:tcW w:w="6098" w:type="dxa"/>
            <w:shd w:val="clear" w:color="auto" w:fill="EEF6F0"/>
            <w:tcMar>
              <w:top w:w="110" w:type="dxa"/>
              <w:left w:w="120" w:type="dxa"/>
              <w:bottom w:w="110" w:type="dxa"/>
              <w:right w:w="120" w:type="dxa"/>
            </w:tcMar>
          </w:tcPr>
          <w:p w14:paraId="057BE344" w14:textId="77777777" w:rsidR="00412538" w:rsidRDefault="00933454">
            <w:r>
              <w:rPr>
                <w:b/>
              </w:rPr>
              <w:t>TOTAL</w:t>
            </w:r>
          </w:p>
        </w:tc>
        <w:tc>
          <w:tcPr>
            <w:tcW w:w="4193" w:type="dxa"/>
            <w:shd w:val="clear" w:color="auto" w:fill="EEF6F0"/>
            <w:tcMar>
              <w:top w:w="110" w:type="dxa"/>
              <w:left w:w="120" w:type="dxa"/>
              <w:bottom w:w="110" w:type="dxa"/>
              <w:right w:w="120" w:type="dxa"/>
            </w:tcMar>
          </w:tcPr>
          <w:p w14:paraId="7CCA4AFE" w14:textId="77777777" w:rsidR="00412538" w:rsidRDefault="00933454">
            <w:pPr>
              <w:jc w:val="center"/>
            </w:pPr>
            <w:r>
              <w:rPr>
                <w:b/>
              </w:rPr>
              <w:t>100 %</w:t>
            </w:r>
          </w:p>
        </w:tc>
      </w:tr>
    </w:tbl>
    <w:p w14:paraId="17EFC1C3" w14:textId="77777777" w:rsidR="00412538" w:rsidRDefault="00933454">
      <w:pPr>
        <w:pStyle w:val="Titre1"/>
      </w:pPr>
      <w:r>
        <w:t>12. Modalités de soumission</w:t>
      </w:r>
    </w:p>
    <w:p w14:paraId="63E90784" w14:textId="7A78E308" w:rsidR="00412538" w:rsidRPr="00B72993" w:rsidRDefault="00933454">
      <w:pPr>
        <w:jc w:val="both"/>
        <w:rPr>
          <w:lang w:val="fr-FR"/>
        </w:rPr>
      </w:pPr>
      <w:r w:rsidRPr="00A003D3">
        <w:rPr>
          <w:lang w:val="fr-FR"/>
        </w:rPr>
        <w:t xml:space="preserve">Les candidat(e)s intéressé(e)s devront soumettre une offre technique et une offre financière à l’adresse recrutement@atsrtn.org avant le </w:t>
      </w:r>
      <w:r w:rsidR="00B72993">
        <w:rPr>
          <w:lang w:val="fr-FR"/>
        </w:rPr>
        <w:t xml:space="preserve">27/09/2026 à </w:t>
      </w:r>
      <w:r w:rsidRPr="00A003D3">
        <w:rPr>
          <w:lang w:val="fr-FR"/>
        </w:rPr>
        <w:t xml:space="preserve">minuit, avec comme objet : « Stratégie de durabilité et modèle économique – ATSR ». </w:t>
      </w:r>
      <w:r w:rsidRPr="00B72993">
        <w:rPr>
          <w:lang w:val="fr-FR"/>
        </w:rPr>
        <w:t>Seuls les dossiers complets seront traités.</w:t>
      </w:r>
    </w:p>
    <w:sectPr w:rsidR="00412538" w:rsidRPr="00B72993" w:rsidSect="00034616">
      <w:footerReference w:type="default" r:id="rId9"/>
      <w:pgSz w:w="12240" w:h="15840"/>
      <w:pgMar w:top="964" w:right="1247"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B8899" w14:textId="77777777" w:rsidR="00933454" w:rsidRDefault="00933454">
      <w:pPr>
        <w:spacing w:after="0" w:line="240" w:lineRule="auto"/>
      </w:pPr>
      <w:r>
        <w:separator/>
      </w:r>
    </w:p>
  </w:endnote>
  <w:endnote w:type="continuationSeparator" w:id="0">
    <w:p w14:paraId="6E3D3E53" w14:textId="77777777" w:rsidR="00933454" w:rsidRDefault="00933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348A" w14:textId="77777777" w:rsidR="00412538" w:rsidRPr="00A003D3" w:rsidRDefault="00933454">
    <w:pPr>
      <w:pStyle w:val="Pieddepage"/>
      <w:jc w:val="center"/>
      <w:rPr>
        <w:lang w:val="fr-FR"/>
      </w:rPr>
    </w:pPr>
    <w:r w:rsidRPr="00A003D3">
      <w:rPr>
        <w:color w:val="5C5C5C"/>
        <w:sz w:val="16"/>
        <w:lang w:val="fr-FR"/>
      </w:rPr>
      <w:t>ATSR – Termes de référence | Stratégie de durabilité et modèle économique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6DD9" w14:textId="77777777" w:rsidR="00933454" w:rsidRDefault="00933454">
      <w:pPr>
        <w:spacing w:after="0" w:line="240" w:lineRule="auto"/>
      </w:pPr>
      <w:r>
        <w:separator/>
      </w:r>
    </w:p>
  </w:footnote>
  <w:footnote w:type="continuationSeparator" w:id="0">
    <w:p w14:paraId="465EED8A" w14:textId="77777777" w:rsidR="00933454" w:rsidRDefault="00933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59195525">
    <w:abstractNumId w:val="8"/>
  </w:num>
  <w:num w:numId="2" w16cid:durableId="966274232">
    <w:abstractNumId w:val="6"/>
  </w:num>
  <w:num w:numId="3" w16cid:durableId="983512914">
    <w:abstractNumId w:val="5"/>
  </w:num>
  <w:num w:numId="4" w16cid:durableId="1849980090">
    <w:abstractNumId w:val="4"/>
  </w:num>
  <w:num w:numId="5" w16cid:durableId="1236866330">
    <w:abstractNumId w:val="7"/>
  </w:num>
  <w:num w:numId="6" w16cid:durableId="585260851">
    <w:abstractNumId w:val="3"/>
  </w:num>
  <w:num w:numId="7" w16cid:durableId="1282225194">
    <w:abstractNumId w:val="2"/>
  </w:num>
  <w:num w:numId="8" w16cid:durableId="1925915242">
    <w:abstractNumId w:val="1"/>
  </w:num>
  <w:num w:numId="9" w16cid:durableId="210228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4AE"/>
    <w:rsid w:val="00140D22"/>
    <w:rsid w:val="0015074B"/>
    <w:rsid w:val="00197F95"/>
    <w:rsid w:val="001C48DB"/>
    <w:rsid w:val="0029639D"/>
    <w:rsid w:val="00326F90"/>
    <w:rsid w:val="00411F32"/>
    <w:rsid w:val="00412538"/>
    <w:rsid w:val="00916FB8"/>
    <w:rsid w:val="00933454"/>
    <w:rsid w:val="00A003D3"/>
    <w:rsid w:val="00A16CC4"/>
    <w:rsid w:val="00AA1D8D"/>
    <w:rsid w:val="00B47730"/>
    <w:rsid w:val="00B7299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7FE09"/>
  <w14:defaultImageDpi w14:val="300"/>
  <w15:docId w15:val="{AA28EAF3-E98D-4E97-B2C8-F5B5DFEC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277642"/>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B52B2B"/>
      <w:sz w:val="23"/>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27764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62626"/>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2236</Words>
  <Characters>12749</Characters>
  <Application>Microsoft Office Word</Application>
  <DocSecurity>0</DocSecurity>
  <Lines>106</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TDR - Stratégie de durabilité et modèle économique de l’ATSR</vt:lpstr>
      <vt:lpstr/>
    </vt:vector>
  </TitlesOfParts>
  <Manager/>
  <Company/>
  <LinksUpToDate>false</LinksUpToDate>
  <CharactersWithSpaces>14956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 Stratégie de durabilité et modèle économique de l’ATSR</dc:title>
  <dc:subject>Appel à candidatures - ATSR 2026</dc:subject>
  <dc:creator>ATSR</dc:creator>
  <cp:keywords/>
  <dc:description>generated by python-docx</dc:description>
  <cp:lastModifiedBy>Myriam SKHIRI</cp:lastModifiedBy>
  <cp:revision>2</cp:revision>
  <dcterms:created xsi:type="dcterms:W3CDTF">2026-09-15T13:46:00Z</dcterms:created>
  <dcterms:modified xsi:type="dcterms:W3CDTF">2026-09-15T13:46:00Z</dcterms:modified>
  <cp:category/>
</cp:coreProperties>
</file>