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C2E8">
      <w:pPr>
        <w:spacing w:after="80"/>
        <w:jc w:val="center"/>
        <w:rPr>
          <w:b/>
          <w:bCs/>
          <w:color w:val="1F4E79"/>
          <w:sz w:val="36"/>
          <w:szCs w:val="36"/>
        </w:rPr>
      </w:pPr>
    </w:p>
    <w:p w14:paraId="1D809D68">
      <w:pPr>
        <w:spacing w:after="80"/>
        <w:jc w:val="center"/>
        <w:rPr>
          <w:b/>
          <w:bCs/>
          <w:color w:val="1F4E79"/>
          <w:sz w:val="36"/>
          <w:szCs w:val="36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-821055</wp:posOffset>
            </wp:positionV>
            <wp:extent cx="1379220" cy="1082675"/>
            <wp:effectExtent l="0" t="0" r="5080" b="9525"/>
            <wp:wrapSquare wrapText="bothSides"/>
            <wp:docPr id="9" name="Image 1" descr="LOGO ATL 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 descr="LOGO ATL SID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73B7C">
      <w:pPr>
        <w:spacing w:after="80"/>
        <w:jc w:val="center"/>
      </w:pPr>
      <w:r>
        <w:rPr>
          <w:b/>
          <w:bCs/>
          <w:color w:val="1F4E79"/>
          <w:sz w:val="36"/>
          <w:szCs w:val="36"/>
        </w:rPr>
        <w:t>TERMES DE RÉFÉRENCE (TDR)</w:t>
      </w:r>
    </w:p>
    <w:p w14:paraId="59C8E9CA">
      <w:pPr>
        <w:spacing w:after="400"/>
        <w:jc w:val="center"/>
      </w:pPr>
      <w:r>
        <w:rPr>
          <w:b/>
          <w:bCs/>
          <w:color w:val="2E75B6"/>
          <w:sz w:val="26"/>
          <w:szCs w:val="26"/>
        </w:rPr>
        <w:t xml:space="preserve">Réhabilitation et réparation d'urgence d'un local de la société civile menaçant </w:t>
      </w:r>
      <w:r>
        <w:rPr>
          <w:rFonts w:hint="default"/>
          <w:b/>
          <w:bCs/>
          <w:color w:val="2E75B6"/>
          <w:sz w:val="26"/>
          <w:szCs w:val="26"/>
          <w:lang w:val="fr-FR"/>
        </w:rPr>
        <w:t xml:space="preserve">de </w:t>
      </w:r>
      <w:r>
        <w:rPr>
          <w:b/>
          <w:bCs/>
          <w:color w:val="2E75B6"/>
          <w:sz w:val="26"/>
          <w:szCs w:val="26"/>
        </w:rPr>
        <w:t>ruine</w:t>
      </w:r>
    </w:p>
    <w:p w14:paraId="2FB9F6B8">
      <w:pPr>
        <w:pStyle w:val="2"/>
      </w:pPr>
      <w:r>
        <w:t>1. Contexte et justification</w:t>
      </w:r>
    </w:p>
    <w:p w14:paraId="0072F2F7">
      <w:pPr>
        <w:spacing w:after="160"/>
      </w:pPr>
      <w:r>
        <w:t>Le local objet des présents termes de référence (TDR) est destiné à abriter les activités d'une organisation de la société civile (association). Suite à des constats techniques et visuels, le bâtiment présente des signes de dégradation avancée de sa structure (fissures, affaissements, infiltrations, dégradation de la toiture, etc.) et est aujourd'hui considéré comme menaçant.</w:t>
      </w:r>
    </w:p>
    <w:p w14:paraId="2B327BA1">
      <w:pPr>
        <w:spacing w:after="160"/>
      </w:pPr>
      <w:r>
        <w:t>Cette situation représente un risque sérieux pour la sécurité du personnel, des bénéficiaires et des visiteurs, et compromet la continuité des activités associatives. Une intervention rapide de réhabilitation/réparation est donc nécessaire afin de sécuriser le bâtiment, préserver le patrimoine et garantir un cadre de travail sûr et fonctionnel.</w:t>
      </w:r>
    </w:p>
    <w:p w14:paraId="4F4A3793">
      <w:pPr>
        <w:pStyle w:val="2"/>
      </w:pPr>
      <w:r>
        <w:t>2. Objectifs</w:t>
      </w:r>
    </w:p>
    <w:p w14:paraId="676F279F">
      <w:pPr>
        <w:pStyle w:val="3"/>
      </w:pPr>
      <w:r>
        <w:t>2.1 Objectif général</w:t>
      </w:r>
    </w:p>
    <w:p w14:paraId="65AF17B8">
      <w:pPr>
        <w:spacing w:after="160"/>
      </w:pPr>
      <w:r>
        <w:t xml:space="preserve">Réaliser les travaux de réhabilitation et de réparation nécessaires pour remettre en état le local de la société civile menaçant </w:t>
      </w:r>
      <w:r>
        <w:rPr>
          <w:rFonts w:hint="default"/>
          <w:lang w:val="fr-FR"/>
        </w:rPr>
        <w:t xml:space="preserve">de </w:t>
      </w:r>
      <w:r>
        <w:t>ruine, en garantissant la sécurité structurelle du bâtiment et sa pérennité.</w:t>
      </w:r>
    </w:p>
    <w:p w14:paraId="7148F789">
      <w:pPr>
        <w:pStyle w:val="3"/>
      </w:pPr>
      <w:r>
        <w:t>2.2 Objectifs spécifiques</w:t>
      </w:r>
    </w:p>
    <w:p w14:paraId="79596634">
      <w:pPr>
        <w:pStyle w:val="16"/>
        <w:numPr>
          <w:ilvl w:val="0"/>
          <w:numId w:val="1"/>
        </w:numPr>
        <w:spacing w:after="80"/>
      </w:pPr>
      <w:r>
        <w:t xml:space="preserve">Réaliser un diagnostic technique complet de l'état du bâtiment (structure, toiture, électricité, plomberie, étanchéité, etc.) </w:t>
      </w:r>
      <w:r>
        <w:rPr>
          <w:rFonts w:hint="default"/>
          <w:lang w:val="fr-FR"/>
        </w:rPr>
        <w:t>un rapport d’expert des tribunaux a été finalisé et sera disponible sous-peu</w:t>
      </w:r>
      <w:r>
        <w:t>;</w:t>
      </w:r>
    </w:p>
    <w:p w14:paraId="7C4C8FB3">
      <w:pPr>
        <w:pStyle w:val="16"/>
        <w:numPr>
          <w:ilvl w:val="0"/>
          <w:numId w:val="1"/>
        </w:numPr>
        <w:spacing w:after="80"/>
      </w:pPr>
      <w:r>
        <w:t xml:space="preserve">Consolider et réparer les éléments structurels menaçant </w:t>
      </w:r>
      <w:r>
        <w:rPr>
          <w:rFonts w:hint="default"/>
          <w:lang w:val="fr-FR"/>
        </w:rPr>
        <w:t xml:space="preserve">de </w:t>
      </w:r>
      <w:r>
        <w:t>ruine (murs, poteaux, poutres, fondations selon le cas) ;</w:t>
      </w:r>
    </w:p>
    <w:p w14:paraId="79DF9EE7">
      <w:pPr>
        <w:pStyle w:val="16"/>
        <w:numPr>
          <w:ilvl w:val="0"/>
          <w:numId w:val="1"/>
        </w:numPr>
        <w:spacing w:after="80"/>
      </w:pPr>
      <w:r>
        <w:t>Réhabiliter la toiture et traiter les problèmes d'infiltration d'eau ;</w:t>
      </w:r>
    </w:p>
    <w:p w14:paraId="0364A950">
      <w:pPr>
        <w:pStyle w:val="16"/>
        <w:numPr>
          <w:ilvl w:val="0"/>
          <w:numId w:val="1"/>
        </w:numPr>
        <w:spacing w:after="80"/>
      </w:pPr>
      <w:r>
        <w:t>Mettre aux normes les installations électriques et sanitaires ;</w:t>
      </w:r>
    </w:p>
    <w:p w14:paraId="20D5907E">
      <w:pPr>
        <w:pStyle w:val="16"/>
        <w:numPr>
          <w:ilvl w:val="0"/>
          <w:numId w:val="1"/>
        </w:numPr>
        <w:spacing w:after="80"/>
      </w:pPr>
      <w:r>
        <w:t>Améliorer l'accessibilité et la sécurité générale du local (issues de secours, éclairage, etc.) ;</w:t>
      </w:r>
    </w:p>
    <w:p w14:paraId="3B9F5475">
      <w:pPr>
        <w:pStyle w:val="16"/>
        <w:numPr>
          <w:ilvl w:val="0"/>
          <w:numId w:val="1"/>
        </w:numPr>
        <w:spacing w:after="80"/>
      </w:pPr>
      <w:r>
        <w:t>Réaliser les finitions (peinture, menuiserie, revêtements) pour un cadre de travail décent.</w:t>
      </w:r>
    </w:p>
    <w:p w14:paraId="4D71FB9D">
      <w:pPr>
        <w:pStyle w:val="2"/>
      </w:pPr>
      <w:r>
        <w:t>3. Résultats attendus</w:t>
      </w:r>
    </w:p>
    <w:p w14:paraId="279CADB6">
      <w:pPr>
        <w:pStyle w:val="16"/>
        <w:numPr>
          <w:ilvl w:val="0"/>
          <w:numId w:val="2"/>
        </w:numPr>
        <w:spacing w:after="80"/>
      </w:pPr>
      <w:r>
        <w:t>Un rapport de diagnostic technique est produit avant le démarrage des travaux ;</w:t>
      </w:r>
    </w:p>
    <w:p w14:paraId="472397C8">
      <w:pPr>
        <w:pStyle w:val="16"/>
        <w:numPr>
          <w:ilvl w:val="0"/>
          <w:numId w:val="2"/>
        </w:numPr>
        <w:spacing w:after="80"/>
      </w:pPr>
      <w:r>
        <w:t>Le local est structurellement sécurisé et ne présente plus de risque d'effondrement ;</w:t>
      </w:r>
    </w:p>
    <w:p w14:paraId="50D6742F">
      <w:pPr>
        <w:pStyle w:val="16"/>
        <w:numPr>
          <w:ilvl w:val="0"/>
          <w:numId w:val="2"/>
        </w:numPr>
        <w:spacing w:after="80"/>
      </w:pPr>
      <w:r>
        <w:t>Les installations électriques et sanitaires sont fonctionnelles et conformes aux normes ;</w:t>
      </w:r>
    </w:p>
    <w:p w14:paraId="06DC366F">
      <w:pPr>
        <w:pStyle w:val="16"/>
        <w:numPr>
          <w:ilvl w:val="0"/>
          <w:numId w:val="2"/>
        </w:numPr>
        <w:spacing w:after="80"/>
      </w:pPr>
      <w:r>
        <w:t>Le bâtiment est livré avec des finitions de qualité, prêt à l'usage ;</w:t>
      </w:r>
    </w:p>
    <w:p w14:paraId="358AB915">
      <w:pPr>
        <w:pStyle w:val="16"/>
        <w:numPr>
          <w:ilvl w:val="0"/>
          <w:numId w:val="2"/>
        </w:numPr>
        <w:spacing w:after="80"/>
      </w:pPr>
      <w:r>
        <w:t>Un procès-verbal de réception des travaux est signé par les parties concernées.</w:t>
      </w:r>
    </w:p>
    <w:p w14:paraId="6633682C">
      <w:pPr>
        <w:pStyle w:val="2"/>
      </w:pPr>
      <w:r>
        <w:t>4. Description des travaux à réaliser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0"/>
        <w:gridCol w:w="6240"/>
      </w:tblGrid>
      <w:tr w14:paraId="4D6C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A5B9CB">
            <w:r>
              <w:rPr>
                <w:b/>
                <w:bCs/>
                <w:color w:val="FFFFFF"/>
                <w:sz w:val="22"/>
                <w:szCs w:val="22"/>
              </w:rPr>
              <w:t>Lot / Composante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103361">
            <w:r>
              <w:rPr>
                <w:b/>
                <w:bCs/>
                <w:color w:val="FFFFFF"/>
                <w:sz w:val="22"/>
                <w:szCs w:val="22"/>
              </w:rPr>
              <w:t>Description sommaire</w:t>
            </w:r>
          </w:p>
        </w:tc>
      </w:tr>
      <w:tr w14:paraId="1D6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190369">
            <w:r>
              <w:rPr>
                <w:b w:val="0"/>
                <w:bCs w:val="0"/>
                <w:sz w:val="22"/>
                <w:szCs w:val="22"/>
              </w:rPr>
              <w:t>Diagnostic technique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F2F0C2">
            <w:r>
              <w:rPr>
                <w:b w:val="0"/>
                <w:bCs w:val="0"/>
                <w:sz w:val="22"/>
                <w:szCs w:val="22"/>
              </w:rPr>
              <w:t>Étude de la structure, identification des désordres et recommandations techniques préalables</w:t>
            </w:r>
          </w:p>
        </w:tc>
      </w:tr>
      <w:tr w14:paraId="0752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B373FD">
            <w:r>
              <w:rPr>
                <w:b w:val="0"/>
                <w:bCs w:val="0"/>
                <w:sz w:val="22"/>
                <w:szCs w:val="22"/>
              </w:rPr>
              <w:t>Gros œuvre / structure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4B391E">
            <w:r>
              <w:rPr>
                <w:b w:val="0"/>
                <w:bCs w:val="0"/>
                <w:sz w:val="22"/>
                <w:szCs w:val="22"/>
              </w:rPr>
              <w:t>Réparation/consolidation des murs porteurs, poteaux, poutres et fondations le cas échéant</w:t>
            </w:r>
          </w:p>
        </w:tc>
      </w:tr>
      <w:tr w14:paraId="0B74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44EDA1">
            <w:r>
              <w:rPr>
                <w:b w:val="0"/>
                <w:bCs w:val="0"/>
                <w:sz w:val="22"/>
                <w:szCs w:val="22"/>
              </w:rPr>
              <w:t>Toiture et étanchéité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C1E4E2">
            <w:r>
              <w:rPr>
                <w:b w:val="0"/>
                <w:bCs w:val="0"/>
                <w:sz w:val="22"/>
                <w:szCs w:val="22"/>
              </w:rPr>
              <w:t>Réfection de la couverture, traitement des infiltrations, isolation</w:t>
            </w:r>
          </w:p>
        </w:tc>
      </w:tr>
      <w:tr w14:paraId="2FA2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4C9F52">
            <w:r>
              <w:rPr>
                <w:b w:val="0"/>
                <w:bCs w:val="0"/>
                <w:sz w:val="22"/>
                <w:szCs w:val="22"/>
              </w:rPr>
              <w:t>Électricité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1F4940">
            <w:r>
              <w:rPr>
                <w:b w:val="0"/>
                <w:bCs w:val="0"/>
                <w:sz w:val="22"/>
                <w:szCs w:val="22"/>
              </w:rPr>
              <w:t>Mise aux normes du réseau électrique et de l'éclairage</w:t>
            </w:r>
          </w:p>
        </w:tc>
      </w:tr>
      <w:tr w14:paraId="456F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BAFA9E">
            <w:r>
              <w:rPr>
                <w:b w:val="0"/>
                <w:bCs w:val="0"/>
                <w:sz w:val="22"/>
                <w:szCs w:val="22"/>
              </w:rPr>
              <w:t>Plomberie / sanitaires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7BE54C">
            <w:r>
              <w:rPr>
                <w:b w:val="0"/>
                <w:bCs w:val="0"/>
                <w:sz w:val="22"/>
                <w:szCs w:val="22"/>
              </w:rPr>
              <w:t>Réparation/remplacement des installations sanitaires</w:t>
            </w:r>
          </w:p>
        </w:tc>
      </w:tr>
      <w:tr w14:paraId="6231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B22F36">
            <w:r>
              <w:rPr>
                <w:b w:val="0"/>
                <w:bCs w:val="0"/>
                <w:sz w:val="22"/>
                <w:szCs w:val="22"/>
              </w:rPr>
              <w:t>Menuiserie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C08307">
            <w:r>
              <w:rPr>
                <w:b w:val="0"/>
                <w:bCs w:val="0"/>
                <w:sz w:val="22"/>
                <w:szCs w:val="22"/>
              </w:rPr>
              <w:t>Réparation/remplacement des portes et fenêtres</w:t>
            </w:r>
          </w:p>
        </w:tc>
      </w:tr>
      <w:tr w14:paraId="0574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4EE2CE">
            <w:r>
              <w:rPr>
                <w:b w:val="0"/>
                <w:bCs w:val="0"/>
                <w:sz w:val="22"/>
                <w:szCs w:val="22"/>
              </w:rPr>
              <w:t>Finitions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90D430">
            <w:r>
              <w:rPr>
                <w:b w:val="0"/>
                <w:bCs w:val="0"/>
                <w:sz w:val="22"/>
                <w:szCs w:val="22"/>
              </w:rPr>
              <w:t>Peinture, revêtements de sols et murs</w:t>
            </w:r>
          </w:p>
        </w:tc>
      </w:tr>
      <w:tr w14:paraId="1095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86D132">
            <w:r>
              <w:rPr>
                <w:b w:val="0"/>
                <w:bCs w:val="0"/>
                <w:sz w:val="22"/>
                <w:szCs w:val="22"/>
              </w:rPr>
              <w:t>Sécurité</w:t>
            </w:r>
          </w:p>
        </w:tc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1179FC">
            <w:r>
              <w:rPr>
                <w:b w:val="0"/>
                <w:bCs w:val="0"/>
                <w:sz w:val="22"/>
                <w:szCs w:val="22"/>
              </w:rPr>
              <w:t>Issues de secours, signalétique, extincteurs</w:t>
            </w:r>
          </w:p>
        </w:tc>
      </w:tr>
    </w:tbl>
    <w:p w14:paraId="11680B63">
      <w:pPr>
        <w:spacing w:before="200"/>
      </w:pPr>
    </w:p>
    <w:p w14:paraId="0B2CA015">
      <w:pPr>
        <w:pStyle w:val="2"/>
      </w:pPr>
      <w:r>
        <w:t>5. Méthodologie et approche</w:t>
      </w:r>
    </w:p>
    <w:p w14:paraId="0BBB5981">
      <w:pPr>
        <w:pStyle w:val="16"/>
        <w:numPr>
          <w:ilvl w:val="0"/>
          <w:numId w:val="1"/>
        </w:numPr>
        <w:spacing w:after="80"/>
      </w:pPr>
      <w:r>
        <w:t>Visite technique préalable et état des lieux contradictoire avec le maître d'ouvrage ;</w:t>
      </w:r>
    </w:p>
    <w:p w14:paraId="64EE5D81">
      <w:pPr>
        <w:pStyle w:val="16"/>
        <w:numPr>
          <w:ilvl w:val="0"/>
          <w:numId w:val="1"/>
        </w:numPr>
        <w:spacing w:after="80"/>
      </w:pPr>
      <w:r>
        <w:t>Élaboration d'un rapport de diagnostic et d'un devis quantitatif/estimatif détaillé ;</w:t>
      </w:r>
    </w:p>
    <w:p w14:paraId="307CF0E5">
      <w:pPr>
        <w:pStyle w:val="16"/>
        <w:numPr>
          <w:ilvl w:val="0"/>
          <w:numId w:val="1"/>
        </w:numPr>
        <w:spacing w:after="80"/>
      </w:pPr>
      <w:r>
        <w:t>Validation du planning des travaux avant démarrage ;</w:t>
      </w:r>
    </w:p>
    <w:p w14:paraId="5A6F5D6A">
      <w:pPr>
        <w:pStyle w:val="16"/>
        <w:numPr>
          <w:ilvl w:val="0"/>
          <w:numId w:val="1"/>
        </w:numPr>
        <w:spacing w:after="80"/>
      </w:pPr>
      <w:r>
        <w:t>Exécution des travaux dans le respect des normes de sécurité et des règles de l'art ;</w:t>
      </w:r>
    </w:p>
    <w:p w14:paraId="31847D90">
      <w:pPr>
        <w:pStyle w:val="16"/>
        <w:numPr>
          <w:ilvl w:val="0"/>
          <w:numId w:val="1"/>
        </w:numPr>
        <w:spacing w:after="80"/>
      </w:pPr>
      <w:r>
        <w:t>Suivi et contrôle qualité réguliers par le maître d'ouvrage ou son représentant ;</w:t>
      </w:r>
    </w:p>
    <w:p w14:paraId="1B5BB64B">
      <w:pPr>
        <w:pStyle w:val="16"/>
        <w:numPr>
          <w:ilvl w:val="0"/>
          <w:numId w:val="1"/>
        </w:numPr>
        <w:spacing w:after="80"/>
      </w:pPr>
      <w:r>
        <w:t>Réception provisoire puis définitive des travaux.</w:t>
      </w:r>
    </w:p>
    <w:p w14:paraId="683A5452">
      <w:pPr>
        <w:pStyle w:val="2"/>
      </w:pPr>
      <w:r>
        <w:t>6. Durée et calendrier d'exécution</w:t>
      </w:r>
    </w:p>
    <w:p w14:paraId="608902CF">
      <w:pPr>
        <w:spacing w:after="160"/>
      </w:pPr>
      <w:r>
        <w:t>La durée totale d'exécution des travaux, incluant le diagnostic et les finitions, est estimée à 60 jours à compter de la notification de l'ordre de service. Un calendrier détaillé devra être proposé par le prestataire dans son offre technique.</w:t>
      </w:r>
    </w:p>
    <w:p w14:paraId="42EAFF32">
      <w:pPr>
        <w:pStyle w:val="2"/>
      </w:pPr>
      <w:r>
        <w:t>7. Profil et qualifications requises du prestataire</w:t>
      </w:r>
    </w:p>
    <w:p w14:paraId="07F14870">
      <w:pPr>
        <w:pStyle w:val="16"/>
        <w:numPr>
          <w:ilvl w:val="0"/>
          <w:numId w:val="1"/>
        </w:numPr>
        <w:spacing w:after="80"/>
      </w:pPr>
      <w:r>
        <w:t>Entreprise ou bureau de travaux justifiant d'une expérience confirmée dans la réhabilitation de bâtiments (références similaires exigées) ;</w:t>
      </w:r>
    </w:p>
    <w:p w14:paraId="562B08B8">
      <w:pPr>
        <w:pStyle w:val="16"/>
        <w:numPr>
          <w:ilvl w:val="0"/>
          <w:numId w:val="1"/>
        </w:numPr>
        <w:spacing w:after="80"/>
      </w:pPr>
      <w:r>
        <w:t>Disposer d'une équipe technique qualifiée (ingénieur génie civil, techniciens spécialisés) ;</w:t>
      </w:r>
    </w:p>
    <w:p w14:paraId="1069A6F9">
      <w:pPr>
        <w:pStyle w:val="16"/>
        <w:numPr>
          <w:ilvl w:val="0"/>
          <w:numId w:val="1"/>
        </w:numPr>
        <w:spacing w:after="80"/>
      </w:pPr>
      <w:r>
        <w:t>Être en règle vis-à-vis des obligations légales, fiscales et sociales ;</w:t>
      </w:r>
    </w:p>
    <w:p w14:paraId="5A35C789">
      <w:pPr>
        <w:pStyle w:val="16"/>
        <w:numPr>
          <w:ilvl w:val="0"/>
          <w:numId w:val="1"/>
        </w:numPr>
        <w:spacing w:after="80"/>
      </w:pPr>
      <w:r>
        <w:t>Disposer d'une assurance responsabilité civile professionnelle et d'une assurance décennale, le cas échéant ;</w:t>
      </w:r>
    </w:p>
    <w:p w14:paraId="3C789662">
      <w:pPr>
        <w:pStyle w:val="16"/>
        <w:numPr>
          <w:ilvl w:val="0"/>
          <w:numId w:val="1"/>
        </w:numPr>
        <w:spacing w:after="80"/>
      </w:pPr>
      <w:r>
        <w:t>Capacité à mobiliser le matériel et les ressources nécessaires dans les délais impartis.</w:t>
      </w:r>
    </w:p>
    <w:p w14:paraId="7622E9D8">
      <w:pPr>
        <w:pStyle w:val="2"/>
      </w:pPr>
      <w:r>
        <w:t>8. Modalités de soumission</w:t>
      </w:r>
    </w:p>
    <w:p w14:paraId="7243EEB8">
      <w:pPr>
        <w:spacing w:after="160"/>
      </w:pPr>
      <w:r>
        <w:t>Les prestataires intéressés sont invités à soumettre un dossier comprenant :</w:t>
      </w:r>
    </w:p>
    <w:p w14:paraId="5B1DE8BD">
      <w:pPr>
        <w:pStyle w:val="16"/>
        <w:numPr>
          <w:ilvl w:val="0"/>
          <w:numId w:val="2"/>
        </w:numPr>
        <w:spacing w:after="80"/>
      </w:pPr>
      <w:r>
        <w:t>Une offre technique détaillant la méthodologie, le planning et les références ;</w:t>
      </w:r>
    </w:p>
    <w:p w14:paraId="512CFF9F">
      <w:pPr>
        <w:pStyle w:val="16"/>
        <w:numPr>
          <w:ilvl w:val="0"/>
          <w:numId w:val="2"/>
        </w:numPr>
        <w:spacing w:after="80"/>
      </w:pPr>
      <w:r>
        <w:t>Une offre financière détaillée par lot, en hors taxes et toutes taxes comprises ;</w:t>
      </w:r>
    </w:p>
    <w:p w14:paraId="00673667">
      <w:pPr>
        <w:pStyle w:val="16"/>
        <w:numPr>
          <w:ilvl w:val="0"/>
          <w:numId w:val="2"/>
        </w:numPr>
        <w:spacing w:after="80"/>
      </w:pPr>
      <w:r>
        <w:t>Les documents administratifs et légaux de l'entreprise ;</w:t>
      </w:r>
    </w:p>
    <w:p w14:paraId="4564E6AE">
      <w:pPr>
        <w:pStyle w:val="16"/>
        <w:numPr>
          <w:ilvl w:val="0"/>
          <w:numId w:val="2"/>
        </w:numPr>
        <w:spacing w:after="80"/>
      </w:pPr>
      <w:r>
        <w:t>Les références de projets similaires réalisés.</w:t>
      </w:r>
    </w:p>
    <w:p w14:paraId="116E6781">
      <w:pPr>
        <w:spacing w:after="160"/>
      </w:pPr>
    </w:p>
    <w:p w14:paraId="505A8A82">
      <w:pPr>
        <w:spacing w:after="400"/>
        <w:jc w:val="center"/>
        <w:rPr>
          <w:rFonts w:hint="default"/>
          <w:lang w:val="fr-FR"/>
        </w:rPr>
      </w:pPr>
      <w:r>
        <w:t xml:space="preserve">Les offres doivent être déposées au plus tard le </w:t>
      </w:r>
      <w:r>
        <w:rPr>
          <w:rFonts w:hint="default"/>
          <w:lang w:val="fr-FR"/>
        </w:rPr>
        <w:t>16 Juillet à 13h</w:t>
      </w:r>
      <w:r>
        <w:t xml:space="preserve">, </w:t>
      </w:r>
      <w:r>
        <w:rPr>
          <w:rFonts w:hint="default"/>
          <w:lang w:val="fr-FR"/>
        </w:rPr>
        <w:t xml:space="preserve">en main propre ou </w:t>
      </w:r>
      <w:r>
        <w:t>à l'adresse suivante :</w:t>
      </w:r>
      <w:r>
        <w:rPr>
          <w:rFonts w:hint="default"/>
          <w:lang w:val="fr-FR"/>
        </w:rPr>
        <w:t xml:space="preserve"> 7 rue El Khalil Menzeh 8 sous enveloppe scellée avec la mention (Réhabilitation et réparation d'urgence d'un local de la société civile menaçant de ruine) </w:t>
      </w:r>
      <w:bookmarkStart w:id="0" w:name="_GoBack"/>
      <w:bookmarkEnd w:id="0"/>
      <w:r>
        <w:rPr>
          <w:rFonts w:hint="default"/>
          <w:lang w:val="fr-FR"/>
        </w:rPr>
        <w:t xml:space="preserve">ou à l’adresse mail: </w:t>
      </w:r>
      <w:r>
        <w:rPr>
          <w:rFonts w:hint="default"/>
          <w:lang w:val="fr-FR"/>
        </w:rPr>
        <w:fldChar w:fldCharType="begin"/>
      </w:r>
      <w:r>
        <w:rPr>
          <w:rFonts w:hint="default"/>
          <w:lang w:val="fr-FR"/>
        </w:rPr>
        <w:instrText xml:space="preserve"> HYPERLINK "mailto:atlsidatunis@gmail.com" </w:instrText>
      </w:r>
      <w:r>
        <w:rPr>
          <w:rFonts w:hint="default"/>
          <w:lang w:val="fr-FR"/>
        </w:rPr>
        <w:fldChar w:fldCharType="separate"/>
      </w:r>
      <w:r>
        <w:rPr>
          <w:rStyle w:val="9"/>
          <w:rFonts w:hint="default"/>
          <w:lang w:val="fr-FR"/>
        </w:rPr>
        <w:t>atlsidatunis@gmail.com</w:t>
      </w:r>
      <w:r>
        <w:rPr>
          <w:rFonts w:hint="default"/>
          <w:lang w:val="fr-FR"/>
        </w:rPr>
        <w:fldChar w:fldCharType="end"/>
      </w:r>
      <w:r>
        <w:rPr>
          <w:rFonts w:hint="default"/>
          <w:lang w:val="fr-FR"/>
        </w:rPr>
        <w:t xml:space="preserve"> avec pour objet (Réhabilitation et réparation d'urgence d'un local de la société civile menaçant de ruine)</w:t>
      </w:r>
    </w:p>
    <w:p w14:paraId="1BF516A4">
      <w:pPr>
        <w:pStyle w:val="2"/>
      </w:pPr>
      <w:r>
        <w:t>9. Critères d'évaluation des offres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0"/>
        <w:gridCol w:w="3120"/>
      </w:tblGrid>
      <w:tr w14:paraId="6EBD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4B85C3">
            <w:r>
              <w:rPr>
                <w:b/>
                <w:bCs/>
                <w:color w:val="FFFFFF"/>
                <w:sz w:val="22"/>
                <w:szCs w:val="22"/>
              </w:rPr>
              <w:t>Critère</w:t>
            </w:r>
          </w:p>
        </w:tc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EB2DBD">
            <w:r>
              <w:rPr>
                <w:b/>
                <w:bCs/>
                <w:color w:val="FFFFFF"/>
                <w:sz w:val="22"/>
                <w:szCs w:val="22"/>
              </w:rPr>
              <w:t>Pondération</w:t>
            </w:r>
          </w:p>
        </w:tc>
      </w:tr>
      <w:tr w14:paraId="256B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51EDAE">
            <w:r>
              <w:rPr>
                <w:b w:val="0"/>
                <w:bCs w:val="0"/>
                <w:sz w:val="22"/>
                <w:szCs w:val="22"/>
              </w:rPr>
              <w:t>Conformité technique et qualité de la méthodologie</w:t>
            </w:r>
          </w:p>
        </w:tc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102849">
            <w:r>
              <w:rPr>
                <w:b w:val="0"/>
                <w:bCs w:val="0"/>
                <w:sz w:val="22"/>
                <w:szCs w:val="22"/>
              </w:rPr>
              <w:t>40 %</w:t>
            </w:r>
          </w:p>
        </w:tc>
      </w:tr>
      <w:tr w14:paraId="7633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085709">
            <w:r>
              <w:rPr>
                <w:b w:val="0"/>
                <w:bCs w:val="0"/>
                <w:sz w:val="22"/>
                <w:szCs w:val="22"/>
              </w:rPr>
              <w:t>Expérience et références du prestataire</w:t>
            </w:r>
          </w:p>
        </w:tc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820D2F">
            <w:r>
              <w:rPr>
                <w:b w:val="0"/>
                <w:bCs w:val="0"/>
                <w:sz w:val="22"/>
                <w:szCs w:val="22"/>
              </w:rPr>
              <w:t>20 %</w:t>
            </w:r>
          </w:p>
        </w:tc>
      </w:tr>
      <w:tr w14:paraId="196E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A83AD">
            <w:r>
              <w:rPr>
                <w:b w:val="0"/>
                <w:bCs w:val="0"/>
                <w:sz w:val="22"/>
                <w:szCs w:val="22"/>
              </w:rPr>
              <w:t>Offre financière</w:t>
            </w:r>
          </w:p>
        </w:tc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E1D26A">
            <w:r>
              <w:rPr>
                <w:b w:val="0"/>
                <w:bCs w:val="0"/>
                <w:sz w:val="22"/>
                <w:szCs w:val="22"/>
              </w:rPr>
              <w:t>30 %</w:t>
            </w:r>
          </w:p>
        </w:tc>
      </w:tr>
      <w:tr w14:paraId="7CC5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4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1A7507">
            <w:r>
              <w:rPr>
                <w:b w:val="0"/>
                <w:bCs w:val="0"/>
                <w:sz w:val="22"/>
                <w:szCs w:val="22"/>
              </w:rPr>
              <w:t>Délai d'exécution proposé</w:t>
            </w:r>
          </w:p>
        </w:tc>
        <w:tc>
          <w:tcPr>
            <w:tcW w:w="312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813A9A">
            <w:r>
              <w:rPr>
                <w:b w:val="0"/>
                <w:bCs w:val="0"/>
                <w:sz w:val="22"/>
                <w:szCs w:val="22"/>
              </w:rPr>
              <w:t>10 %</w:t>
            </w:r>
          </w:p>
        </w:tc>
      </w:tr>
    </w:tbl>
    <w:p w14:paraId="6693554B">
      <w:pPr>
        <w:spacing w:before="200"/>
      </w:pPr>
    </w:p>
    <w:p w14:paraId="45C1D62E">
      <w:pPr>
        <w:pStyle w:val="2"/>
      </w:pPr>
      <w:r>
        <w:t>10. Garanties et obligations contractuelles</w:t>
      </w:r>
    </w:p>
    <w:p w14:paraId="1EF52E0F">
      <w:pPr>
        <w:pStyle w:val="16"/>
        <w:numPr>
          <w:ilvl w:val="0"/>
          <w:numId w:val="1"/>
        </w:numPr>
        <w:spacing w:after="80"/>
      </w:pPr>
      <w:r>
        <w:t>Garantie de parfait achèvement des travaux sur une période d'au moins un an ;</w:t>
      </w:r>
    </w:p>
    <w:p w14:paraId="65C70519">
      <w:pPr>
        <w:pStyle w:val="16"/>
        <w:numPr>
          <w:ilvl w:val="0"/>
          <w:numId w:val="1"/>
        </w:numPr>
        <w:spacing w:after="80"/>
      </w:pPr>
      <w:r>
        <w:t>Respect des normes de sécurité sur le chantier (port d'équipements de protection, signalisation) ;</w:t>
      </w:r>
    </w:p>
    <w:p w14:paraId="7991A8F9">
      <w:pPr>
        <w:pStyle w:val="16"/>
        <w:numPr>
          <w:ilvl w:val="0"/>
          <w:numId w:val="1"/>
        </w:numPr>
        <w:spacing w:after="80"/>
      </w:pPr>
      <w:r>
        <w:t>Remise en état des lieux après travaux (évacuation des déchets et gravats) ;</w:t>
      </w:r>
    </w:p>
    <w:p w14:paraId="2A6DF493">
      <w:pPr>
        <w:pStyle w:val="16"/>
        <w:numPr>
          <w:ilvl w:val="0"/>
          <w:numId w:val="1"/>
        </w:numPr>
        <w:spacing w:after="80"/>
      </w:pPr>
      <w:r>
        <w:t>Fourniture d'un dossier de récolement (plans, factures, garanties matériaux) en fin de chantier.</w:t>
      </w:r>
    </w:p>
    <w:p w14:paraId="296FF2BC">
      <w:pPr>
        <w:pStyle w:val="2"/>
      </w:pPr>
      <w:r>
        <w:t>1</w:t>
      </w:r>
      <w:r>
        <w:rPr>
          <w:rFonts w:hint="default"/>
          <w:lang w:val="fr-FR"/>
        </w:rPr>
        <w:t>1</w:t>
      </w:r>
      <w:r>
        <w:t>. Contact</w:t>
      </w:r>
    </w:p>
    <w:p w14:paraId="5784A0E1">
      <w:pPr>
        <w:spacing w:after="160"/>
      </w:pPr>
      <w:r>
        <w:t>Pour toute information complémentaire, les prestataires intéressés peuvent contacter :</w:t>
      </w:r>
    </w:p>
    <w:p w14:paraId="66F5B0C4">
      <w:pPr>
        <w:spacing w:after="160"/>
        <w:rPr>
          <w:rFonts w:hint="default"/>
          <w:lang w:val="fr-FR"/>
        </w:rPr>
      </w:pPr>
      <w:r>
        <w:rPr>
          <w:rFonts w:hint="default"/>
          <w:lang w:val="fr-FR"/>
        </w:rPr>
        <w:t>Saoussen Taboubi; Présidente: +216 303 527</w:t>
      </w:r>
    </w:p>
    <w:p w14:paraId="7928B3AE">
      <w:pPr>
        <w:spacing w:after="160"/>
        <w:rPr>
          <w:rFonts w:hint="default"/>
          <w:lang w:val="fr-FR"/>
        </w:rPr>
      </w:pPr>
      <w:r>
        <w:rPr>
          <w:rFonts w:hint="default"/>
          <w:lang w:val="fr-FR"/>
        </w:rPr>
        <w:t>Nada Riahi: Vic-présidente: +216 20 165 168</w:t>
      </w:r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423575A6"/>
    <w:rsid w:val="70640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pBdr>
        <w:bottom w:val="single" w:color="1F4E79" w:sz="6" w:space="4"/>
      </w:pBdr>
      <w:spacing w:before="320" w:after="200"/>
      <w:outlineLvl w:val="0"/>
    </w:pPr>
    <w:rPr>
      <w:rFonts w:ascii="Arial" w:hAnsi="Arial" w:eastAsia="Arial" w:cs="Arial"/>
      <w:b/>
      <w:bCs/>
      <w:color w:val="1F4E79"/>
      <w:sz w:val="30"/>
      <w:szCs w:val="30"/>
    </w:rPr>
  </w:style>
  <w:style w:type="paragraph" w:styleId="3">
    <w:name w:val="heading 2"/>
    <w:next w:val="1"/>
    <w:qFormat/>
    <w:uiPriority w:val="0"/>
    <w:pPr>
      <w:spacing w:before="220" w:after="140"/>
      <w:outlineLvl w:val="1"/>
    </w:pPr>
    <w:rPr>
      <w:rFonts w:ascii="Arial" w:hAnsi="Arial" w:eastAsia="Arial" w:cs="Arial"/>
      <w:b/>
      <w:bCs/>
      <w:color w:val="2E75B6"/>
      <w:sz w:val="24"/>
      <w:szCs w:val="24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paragraph" w:styleId="12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4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17">
    <w:name w:val="Footnote Text Char"/>
    <w:link w:val="13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2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826</Words>
  <Characters>4946</Characters>
  <TotalTime>2</TotalTime>
  <ScaleCrop>false</ScaleCrop>
  <LinksUpToDate>false</LinksUpToDate>
  <CharactersWithSpaces>5690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2026-06-30T11:06:00Z</dcterms:created>
  <dc:creator>Un-named</dc:creator>
  <cp:lastModifiedBy>aidam</cp:lastModifiedBy>
  <dcterms:modified xsi:type="dcterms:W3CDTF">2026-07-02T11:43:05Z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eyJoZGlkIjoiNTdkYzJkYjhjYWYxNDFjMjY5OTVhOThkYTM1ODI2OWMifQ==</vt:lpwstr>
  </property>
  <property fmtid="{D5CDD505-2E9C-101B-9397-08002B2CF9AE}" pid="3" name="KSOProductBuildVer">
    <vt:lpwstr>1036-12.1.0.26880</vt:lpwstr>
  </property>
  <property fmtid="{D5CDD505-2E9C-101B-9397-08002B2CF9AE}" pid="4" name="ICV">
    <vt:lpwstr>21A4356674D749388DE73B4178D8DC04_12</vt:lpwstr>
  </property>
</Properties>
</file>