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AF19A" w14:textId="77777777" w:rsidR="00BD7335" w:rsidRDefault="00BD7335">
      <w:pPr>
        <w:spacing w:before="200" w:after="120"/>
        <w:jc w:val="center"/>
        <w:rPr>
          <w:b/>
          <w:bCs/>
          <w:sz w:val="48"/>
          <w:szCs w:val="48"/>
        </w:rPr>
      </w:pPr>
    </w:p>
    <w:p w14:paraId="0685C9D2" w14:textId="1F21C478" w:rsidR="003704C1" w:rsidRDefault="00000000">
      <w:pPr>
        <w:spacing w:before="200" w:after="120"/>
        <w:jc w:val="center"/>
      </w:pPr>
      <w:r>
        <w:rPr>
          <w:b/>
          <w:bCs/>
          <w:sz w:val="48"/>
          <w:szCs w:val="48"/>
        </w:rPr>
        <w:t>APPEL À CANDIDATURE</w:t>
      </w:r>
    </w:p>
    <w:p w14:paraId="559C2A2C" w14:textId="77777777" w:rsidR="003704C1" w:rsidRDefault="00000000">
      <w:pPr>
        <w:spacing w:after="100"/>
        <w:jc w:val="center"/>
      </w:pPr>
      <w:r>
        <w:rPr>
          <w:b/>
          <w:bCs/>
          <w:sz w:val="36"/>
          <w:szCs w:val="36"/>
        </w:rPr>
        <w:t>Désignation d’un Commissaire aux Comptes</w:t>
      </w:r>
    </w:p>
    <w:p w14:paraId="630AAC41" w14:textId="77777777" w:rsidR="003704C1" w:rsidRDefault="00000000">
      <w:pPr>
        <w:spacing w:after="280"/>
        <w:jc w:val="center"/>
      </w:pPr>
      <w:r>
        <w:rPr>
          <w:b/>
          <w:bCs/>
          <w:sz w:val="27"/>
          <w:szCs w:val="27"/>
        </w:rPr>
        <w:t>Exercices 2026 – 2027 – 2028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53"/>
        <w:gridCol w:w="7009"/>
      </w:tblGrid>
      <w:tr w:rsidR="003704C1" w14:paraId="6FACF23D" w14:textId="77777777" w:rsidTr="00D7119D">
        <w:tc>
          <w:tcPr>
            <w:tcW w:w="1517" w:type="pct"/>
            <w:tcBorders>
              <w:top w:val="single" w:sz="1" w:space="0" w:color="CCCCCC"/>
              <w:left w:val="single" w:sz="1" w:space="0" w:color="CCCCCC"/>
              <w:bottom w:val="single" w:sz="1" w:space="0" w:color="CCCCCC"/>
              <w:right w:val="single" w:sz="1" w:space="0" w:color="CCCCCC"/>
            </w:tcBorders>
            <w:shd w:val="clear" w:color="auto" w:fill="F2F2F2"/>
            <w:tcMar>
              <w:top w:w="70" w:type="dxa"/>
              <w:left w:w="120" w:type="dxa"/>
              <w:bottom w:w="70" w:type="dxa"/>
              <w:right w:w="120" w:type="dxa"/>
            </w:tcMar>
          </w:tcPr>
          <w:p w14:paraId="2B7F2463" w14:textId="77777777" w:rsidR="003704C1" w:rsidRDefault="00000000">
            <w:r>
              <w:rPr>
                <w:b/>
                <w:bCs/>
              </w:rPr>
              <w:t>Organisme</w:t>
            </w:r>
          </w:p>
        </w:tc>
        <w:tc>
          <w:tcPr>
            <w:tcW w:w="3483" w:type="pct"/>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47A3BD96" w14:textId="77777777" w:rsidR="003704C1" w:rsidRDefault="00000000">
            <w:r>
              <w:t>ATIOST – Association Tunisienne d’Information et d’Orientation sur le Sida et la Toxicomanie</w:t>
            </w:r>
          </w:p>
        </w:tc>
      </w:tr>
      <w:tr w:rsidR="003704C1" w14:paraId="0B6EF7FF" w14:textId="77777777" w:rsidTr="00D7119D">
        <w:tc>
          <w:tcPr>
            <w:tcW w:w="1517" w:type="pct"/>
            <w:tcBorders>
              <w:top w:val="single" w:sz="1" w:space="0" w:color="CCCCCC"/>
              <w:left w:val="single" w:sz="1" w:space="0" w:color="CCCCCC"/>
              <w:bottom w:val="single" w:sz="1" w:space="0" w:color="CCCCCC"/>
              <w:right w:val="single" w:sz="1" w:space="0" w:color="CCCCCC"/>
            </w:tcBorders>
            <w:shd w:val="clear" w:color="auto" w:fill="F2F2F2"/>
            <w:tcMar>
              <w:top w:w="70" w:type="dxa"/>
              <w:left w:w="120" w:type="dxa"/>
              <w:bottom w:w="70" w:type="dxa"/>
              <w:right w:w="120" w:type="dxa"/>
            </w:tcMar>
          </w:tcPr>
          <w:p w14:paraId="58D60AB1" w14:textId="77777777" w:rsidR="003704C1" w:rsidRDefault="00000000">
            <w:r>
              <w:rPr>
                <w:b/>
                <w:bCs/>
              </w:rPr>
              <w:t>Objet</w:t>
            </w:r>
          </w:p>
        </w:tc>
        <w:tc>
          <w:tcPr>
            <w:tcW w:w="3483" w:type="pct"/>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2664FDF2" w14:textId="68CD02F2" w:rsidR="003704C1" w:rsidRDefault="00000000">
            <w:r>
              <w:t xml:space="preserve">Désignation d’un Commissaire aux Comptes pour </w:t>
            </w:r>
            <w:r w:rsidR="004816CC">
              <w:t xml:space="preserve">un mandat de </w:t>
            </w:r>
            <w:r>
              <w:t>3 exercices</w:t>
            </w:r>
          </w:p>
        </w:tc>
      </w:tr>
      <w:tr w:rsidR="003704C1" w14:paraId="1674A2AB" w14:textId="77777777" w:rsidTr="00D7119D">
        <w:tc>
          <w:tcPr>
            <w:tcW w:w="1517" w:type="pct"/>
            <w:tcBorders>
              <w:top w:val="single" w:sz="1" w:space="0" w:color="CCCCCC"/>
              <w:left w:val="single" w:sz="1" w:space="0" w:color="CCCCCC"/>
              <w:bottom w:val="single" w:sz="1" w:space="0" w:color="CCCCCC"/>
              <w:right w:val="single" w:sz="1" w:space="0" w:color="CCCCCC"/>
            </w:tcBorders>
            <w:shd w:val="clear" w:color="auto" w:fill="F2F2F2"/>
            <w:tcMar>
              <w:top w:w="70" w:type="dxa"/>
              <w:left w:w="120" w:type="dxa"/>
              <w:bottom w:w="70" w:type="dxa"/>
              <w:right w:w="120" w:type="dxa"/>
            </w:tcMar>
          </w:tcPr>
          <w:p w14:paraId="588ABD92" w14:textId="77777777" w:rsidR="003704C1" w:rsidRDefault="00000000">
            <w:r>
              <w:rPr>
                <w:b/>
                <w:bCs/>
              </w:rPr>
              <w:t>Date de publication</w:t>
            </w:r>
          </w:p>
        </w:tc>
        <w:tc>
          <w:tcPr>
            <w:tcW w:w="3483" w:type="pct"/>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5D97751C" w14:textId="33623E80" w:rsidR="003704C1" w:rsidRDefault="00BD7335">
            <w:r>
              <w:t xml:space="preserve">14 </w:t>
            </w:r>
            <w:r w:rsidR="00000000">
              <w:t>avril 2026</w:t>
            </w:r>
          </w:p>
        </w:tc>
      </w:tr>
      <w:tr w:rsidR="003704C1" w14:paraId="6B3DDF42" w14:textId="77777777" w:rsidTr="00D7119D">
        <w:tc>
          <w:tcPr>
            <w:tcW w:w="1517" w:type="pct"/>
            <w:tcBorders>
              <w:top w:val="single" w:sz="1" w:space="0" w:color="CCCCCC"/>
              <w:left w:val="single" w:sz="1" w:space="0" w:color="CCCCCC"/>
              <w:bottom w:val="single" w:sz="1" w:space="0" w:color="CCCCCC"/>
              <w:right w:val="single" w:sz="1" w:space="0" w:color="CCCCCC"/>
            </w:tcBorders>
            <w:shd w:val="clear" w:color="auto" w:fill="F2F2F2"/>
            <w:tcMar>
              <w:top w:w="70" w:type="dxa"/>
              <w:left w:w="120" w:type="dxa"/>
              <w:bottom w:w="70" w:type="dxa"/>
              <w:right w:w="120" w:type="dxa"/>
            </w:tcMar>
          </w:tcPr>
          <w:p w14:paraId="13913864" w14:textId="77777777" w:rsidR="003704C1" w:rsidRDefault="00000000">
            <w:r>
              <w:rPr>
                <w:b/>
                <w:bCs/>
              </w:rPr>
              <w:t>Date limite de dépôt</w:t>
            </w:r>
          </w:p>
        </w:tc>
        <w:tc>
          <w:tcPr>
            <w:tcW w:w="3483" w:type="pct"/>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452D05A2" w14:textId="47486FDF" w:rsidR="003704C1" w:rsidRDefault="00BD7335">
            <w:proofErr w:type="gramStart"/>
            <w:r>
              <w:t xml:space="preserve">29 </w:t>
            </w:r>
            <w:r w:rsidR="00000000">
              <w:t xml:space="preserve"> avril</w:t>
            </w:r>
            <w:proofErr w:type="gramEnd"/>
            <w:r w:rsidR="00000000">
              <w:t xml:space="preserve"> 2026 à 15h00</w:t>
            </w:r>
          </w:p>
        </w:tc>
      </w:tr>
      <w:tr w:rsidR="003704C1" w14:paraId="28C32A2E" w14:textId="77777777" w:rsidTr="00D7119D">
        <w:tc>
          <w:tcPr>
            <w:tcW w:w="1517" w:type="pct"/>
            <w:tcBorders>
              <w:top w:val="single" w:sz="1" w:space="0" w:color="CCCCCC"/>
              <w:left w:val="single" w:sz="1" w:space="0" w:color="CCCCCC"/>
              <w:bottom w:val="single" w:sz="1" w:space="0" w:color="CCCCCC"/>
              <w:right w:val="single" w:sz="1" w:space="0" w:color="CCCCCC"/>
            </w:tcBorders>
            <w:shd w:val="clear" w:color="auto" w:fill="F2F2F2"/>
            <w:tcMar>
              <w:top w:w="70" w:type="dxa"/>
              <w:left w:w="120" w:type="dxa"/>
              <w:bottom w:w="70" w:type="dxa"/>
              <w:right w:w="120" w:type="dxa"/>
            </w:tcMar>
          </w:tcPr>
          <w:p w14:paraId="3FAAC4CA" w14:textId="77777777" w:rsidR="003704C1" w:rsidRDefault="00000000">
            <w:r>
              <w:rPr>
                <w:b/>
                <w:bCs/>
              </w:rPr>
              <w:t>Contact</w:t>
            </w:r>
          </w:p>
        </w:tc>
        <w:tc>
          <w:tcPr>
            <w:tcW w:w="3483" w:type="pct"/>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154C3CBF" w14:textId="77777777" w:rsidR="003704C1" w:rsidRDefault="00000000">
            <w:r>
              <w:t>atiost.sida.toxicomanie@gmail.com</w:t>
            </w:r>
          </w:p>
        </w:tc>
      </w:tr>
    </w:tbl>
    <w:p w14:paraId="6235E26D" w14:textId="77777777" w:rsidR="003704C1" w:rsidRDefault="003704C1">
      <w:pPr>
        <w:spacing w:before="260" w:after="60"/>
      </w:pPr>
    </w:p>
    <w:p w14:paraId="483C66E2" w14:textId="77777777" w:rsidR="003704C1" w:rsidRPr="00BD7335" w:rsidRDefault="00000000">
      <w:pPr>
        <w:spacing w:before="60" w:after="60"/>
        <w:jc w:val="both"/>
        <w:rPr>
          <w:sz w:val="24"/>
          <w:szCs w:val="24"/>
        </w:rPr>
      </w:pPr>
      <w:r w:rsidRPr="00BD7335">
        <w:rPr>
          <w:sz w:val="24"/>
          <w:szCs w:val="24"/>
        </w:rPr>
        <w:t>L’Association Tunisienne d’Information et d’Orientation sur le Sida et la Toxicomanie (ATIOST), dûment constituée et enregistrée conformément à la législation tunisienne régissant les associations (Décret-loi n° 2011-88 du 24 septembre 2011, tel que modifié), lance le présent appel à candidature en vue de la désignation d’un Commissaire aux Comptes pour les exercices comptables 2026, 2027 et 2028.</w:t>
      </w:r>
    </w:p>
    <w:p w14:paraId="5043CC89" w14:textId="77777777" w:rsidR="003704C1" w:rsidRPr="00BD7335" w:rsidRDefault="00000000">
      <w:pPr>
        <w:spacing w:before="340" w:after="140"/>
        <w:rPr>
          <w:sz w:val="28"/>
          <w:szCs w:val="28"/>
          <w:u w:val="single"/>
        </w:rPr>
      </w:pPr>
      <w:r w:rsidRPr="00BD7335">
        <w:rPr>
          <w:b/>
          <w:bCs/>
          <w:sz w:val="28"/>
          <w:szCs w:val="28"/>
          <w:u w:val="single"/>
        </w:rPr>
        <w:t>1. Objet</w:t>
      </w:r>
    </w:p>
    <w:p w14:paraId="540A74D7" w14:textId="77777777" w:rsidR="003704C1" w:rsidRPr="00BD7335" w:rsidRDefault="00000000" w:rsidP="00D7119D">
      <w:pPr>
        <w:spacing w:before="60" w:after="60"/>
        <w:jc w:val="both"/>
        <w:rPr>
          <w:sz w:val="24"/>
          <w:szCs w:val="24"/>
        </w:rPr>
      </w:pPr>
      <w:r w:rsidRPr="00BD7335">
        <w:rPr>
          <w:sz w:val="24"/>
          <w:szCs w:val="24"/>
        </w:rPr>
        <w:t>Le présent appel à candidature a pour objet la sélection d’un Commissaire aux Comptes chargé notamment de :</w:t>
      </w:r>
    </w:p>
    <w:p w14:paraId="30314A7A" w14:textId="77777777" w:rsidR="003704C1" w:rsidRPr="00BD7335" w:rsidRDefault="003704C1" w:rsidP="00D7119D">
      <w:pPr>
        <w:spacing w:before="40" w:after="20"/>
        <w:jc w:val="both"/>
        <w:rPr>
          <w:sz w:val="24"/>
          <w:szCs w:val="24"/>
        </w:rPr>
      </w:pPr>
    </w:p>
    <w:p w14:paraId="6E02F326"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Contrôler la régularité, la sincérité et l’image fidèle des états financiers de l’association ;</w:t>
      </w:r>
    </w:p>
    <w:p w14:paraId="0236E7ED"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Vérifier la conformité des opérations financières avec les dispositions légales et réglementaires en vigueur, ainsi qu’avec les règles internes de l’association ;</w:t>
      </w:r>
    </w:p>
    <w:p w14:paraId="0F6C30F7"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Certifier les comptes annuels conformément aux normes professionnelles applicables en Tunisie ;</w:t>
      </w:r>
    </w:p>
    <w:p w14:paraId="449F1A3F"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Établir le rapport général de commissariat aux comptes destiné aux instances de gouvernance de l’association ;</w:t>
      </w:r>
    </w:p>
    <w:p w14:paraId="26BEBB4E"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Signaler toute irrégularité ou anomalie constatée dans le cadre de sa mission.</w:t>
      </w:r>
    </w:p>
    <w:p w14:paraId="7E245FB2" w14:textId="77777777" w:rsidR="003704C1" w:rsidRPr="00BD7335" w:rsidRDefault="00000000">
      <w:pPr>
        <w:spacing w:before="340" w:after="140"/>
        <w:rPr>
          <w:sz w:val="28"/>
          <w:szCs w:val="28"/>
        </w:rPr>
      </w:pPr>
      <w:r w:rsidRPr="00BD7335">
        <w:rPr>
          <w:b/>
          <w:bCs/>
          <w:sz w:val="28"/>
          <w:szCs w:val="28"/>
        </w:rPr>
        <w:t>2. Conditions de participation</w:t>
      </w:r>
    </w:p>
    <w:p w14:paraId="547830FD" w14:textId="77777777" w:rsidR="003704C1" w:rsidRPr="00BD7335" w:rsidRDefault="00000000" w:rsidP="00D7119D">
      <w:pPr>
        <w:spacing w:before="60" w:after="60"/>
        <w:jc w:val="both"/>
        <w:rPr>
          <w:sz w:val="24"/>
          <w:szCs w:val="24"/>
        </w:rPr>
      </w:pPr>
      <w:r w:rsidRPr="00BD7335">
        <w:rPr>
          <w:sz w:val="24"/>
          <w:szCs w:val="24"/>
        </w:rPr>
        <w:t>Peuvent faire acte de candidature :</w:t>
      </w:r>
    </w:p>
    <w:p w14:paraId="21FC4788" w14:textId="77777777" w:rsidR="003704C1" w:rsidRPr="00BD7335" w:rsidRDefault="003704C1" w:rsidP="00D7119D">
      <w:pPr>
        <w:spacing w:before="40" w:after="20"/>
        <w:jc w:val="both"/>
        <w:rPr>
          <w:sz w:val="24"/>
          <w:szCs w:val="24"/>
        </w:rPr>
      </w:pPr>
    </w:p>
    <w:p w14:paraId="6650FC47"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Les experts-comptables régulièrement inscrits au tableau de l’Ordre des Experts Comptables de Tunisie (OECT) et habilités à exercer la fonction de commissaire aux comptes ;</w:t>
      </w:r>
    </w:p>
    <w:p w14:paraId="4BEB21C2"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Les cabinets d’expertise comptable dont l’associé signataire satisfait aux conditions ci-dessus ;</w:t>
      </w:r>
    </w:p>
    <w:p w14:paraId="167AF3E2" w14:textId="29D457D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Justifiant d’une expérience av</w:t>
      </w:r>
      <w:r w:rsidR="00BD7335" w:rsidRPr="00BD7335">
        <w:rPr>
          <w:sz w:val="24"/>
          <w:szCs w:val="24"/>
        </w:rPr>
        <w:t>é</w:t>
      </w:r>
      <w:r w:rsidRPr="00BD7335">
        <w:rPr>
          <w:sz w:val="24"/>
          <w:szCs w:val="24"/>
        </w:rPr>
        <w:t>rée en audit légal, de préférence dans le secteur associatif, des ONG ou dans le cadre de projets financés par des bailleurs de fonds internationaux.</w:t>
      </w:r>
    </w:p>
    <w:p w14:paraId="05EAE7DE" w14:textId="77777777" w:rsidR="003704C1" w:rsidRPr="00BD7335" w:rsidRDefault="003704C1" w:rsidP="00D7119D">
      <w:pPr>
        <w:spacing w:before="60" w:after="40"/>
        <w:jc w:val="both"/>
        <w:rPr>
          <w:sz w:val="24"/>
          <w:szCs w:val="24"/>
        </w:rPr>
      </w:pPr>
    </w:p>
    <w:p w14:paraId="37A63EC6" w14:textId="77777777" w:rsidR="003704C1" w:rsidRPr="00BD7335" w:rsidRDefault="00000000">
      <w:pPr>
        <w:spacing w:before="340" w:after="140"/>
        <w:rPr>
          <w:sz w:val="28"/>
          <w:szCs w:val="28"/>
        </w:rPr>
      </w:pPr>
      <w:r w:rsidRPr="00BD7335">
        <w:rPr>
          <w:b/>
          <w:bCs/>
          <w:sz w:val="28"/>
          <w:szCs w:val="28"/>
        </w:rPr>
        <w:t>3. Dossier de candidature</w:t>
      </w:r>
    </w:p>
    <w:p w14:paraId="7FC2FFDA" w14:textId="77777777" w:rsidR="003704C1" w:rsidRPr="00BD7335" w:rsidRDefault="00000000" w:rsidP="00D7119D">
      <w:pPr>
        <w:spacing w:before="60" w:after="60"/>
        <w:jc w:val="both"/>
        <w:rPr>
          <w:sz w:val="24"/>
          <w:szCs w:val="24"/>
        </w:rPr>
      </w:pPr>
      <w:r w:rsidRPr="00BD7335">
        <w:rPr>
          <w:sz w:val="24"/>
          <w:szCs w:val="24"/>
        </w:rPr>
        <w:t>Le dossier de candidature doit obligatoirement comporter les pièces suivantes :</w:t>
      </w:r>
    </w:p>
    <w:p w14:paraId="76DE4ACC" w14:textId="77777777" w:rsidR="003704C1" w:rsidRPr="00BD7335" w:rsidRDefault="003704C1" w:rsidP="00D7119D">
      <w:pPr>
        <w:spacing w:before="40" w:after="20"/>
        <w:jc w:val="both"/>
        <w:rPr>
          <w:sz w:val="24"/>
          <w:szCs w:val="24"/>
        </w:rPr>
      </w:pPr>
    </w:p>
    <w:p w14:paraId="48E87702"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Copie de l’attestation d’inscription en cours de validité à l’OECT ;</w:t>
      </w:r>
    </w:p>
    <w:p w14:paraId="192A6E28"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Curriculum vitae détaillé du candidat ou de l’associé responsable du cabinet ;</w:t>
      </w:r>
    </w:p>
    <w:p w14:paraId="0BD0B3A0"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Note méthodologique présentant l’approche d’audit proposée, les diligences envisagées ainsi que l’organisation de la mission ;</w:t>
      </w:r>
    </w:p>
    <w:p w14:paraId="6087B25A" w14:textId="1E2BFFFF"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Note financière précisant que les honoraires seront facturés conformément au barème officiel des commissaires aux comptes en vigueur, accompagnée des modalités d’intervention envisagées (périodicité des interventions, conditions pratiques d’exécution de la mission) pour un exercice et pour l’ensemble du mandat. L’offre financière ne constitue pas un critère de sélection ;</w:t>
      </w:r>
    </w:p>
    <w:p w14:paraId="50D20D7F"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Liste des références professionnelles pertinentes, accompagnée le cas échéant d’attestations de bonne exécution ;</w:t>
      </w:r>
    </w:p>
    <w:p w14:paraId="255CA312" w14:textId="77777777" w:rsidR="003704C1" w:rsidRPr="00BD7335" w:rsidRDefault="00000000" w:rsidP="00D7119D">
      <w:pPr>
        <w:pStyle w:val="Paragraphedeliste"/>
        <w:numPr>
          <w:ilvl w:val="0"/>
          <w:numId w:val="2"/>
        </w:numPr>
        <w:spacing w:before="40" w:after="40"/>
        <w:jc w:val="both"/>
        <w:rPr>
          <w:sz w:val="24"/>
          <w:szCs w:val="24"/>
        </w:rPr>
      </w:pPr>
      <w:r w:rsidRPr="00BD7335">
        <w:rPr>
          <w:sz w:val="24"/>
          <w:szCs w:val="24"/>
        </w:rPr>
        <w:t>Tout document de nature à justifier d’une expérience dans le secteur associatif ou ONG (optionnel mais valorisé).</w:t>
      </w:r>
    </w:p>
    <w:p w14:paraId="6DE8AC86" w14:textId="77777777" w:rsidR="003704C1" w:rsidRPr="00BD7335" w:rsidRDefault="003704C1">
      <w:pPr>
        <w:spacing w:before="60" w:after="40"/>
        <w:rPr>
          <w:sz w:val="24"/>
          <w:szCs w:val="24"/>
        </w:rPr>
      </w:pPr>
    </w:p>
    <w:p w14:paraId="122F795C" w14:textId="43E74B2A" w:rsidR="003704C1" w:rsidRPr="00BD7335" w:rsidRDefault="00000000" w:rsidP="00D7119D">
      <w:pPr>
        <w:spacing w:before="60" w:after="60"/>
        <w:jc w:val="both"/>
        <w:rPr>
          <w:sz w:val="24"/>
          <w:szCs w:val="24"/>
        </w:rPr>
      </w:pPr>
      <w:r w:rsidRPr="00BD7335">
        <w:rPr>
          <w:b/>
          <w:bCs/>
          <w:sz w:val="24"/>
          <w:szCs w:val="24"/>
        </w:rPr>
        <w:t>Toute offre financière non conforme au barème réglementaire d</w:t>
      </w:r>
      <w:r w:rsidR="00D7119D" w:rsidRPr="00BD7335">
        <w:rPr>
          <w:b/>
          <w:bCs/>
          <w:sz w:val="24"/>
          <w:szCs w:val="24"/>
        </w:rPr>
        <w:t>u commissariat aux comptes</w:t>
      </w:r>
      <w:r w:rsidRPr="00BD7335">
        <w:rPr>
          <w:b/>
          <w:bCs/>
          <w:sz w:val="24"/>
          <w:szCs w:val="24"/>
        </w:rPr>
        <w:t xml:space="preserve"> sera systématiquement écartée.</w:t>
      </w:r>
    </w:p>
    <w:p w14:paraId="424F6875" w14:textId="77777777" w:rsidR="003704C1" w:rsidRPr="00BD7335" w:rsidRDefault="00000000">
      <w:pPr>
        <w:spacing w:before="340" w:after="140"/>
        <w:rPr>
          <w:sz w:val="28"/>
          <w:szCs w:val="28"/>
        </w:rPr>
      </w:pPr>
      <w:r w:rsidRPr="00BD7335">
        <w:rPr>
          <w:b/>
          <w:bCs/>
          <w:sz w:val="28"/>
          <w:szCs w:val="28"/>
        </w:rPr>
        <w:t>4. Modalités de soumission</w:t>
      </w:r>
    </w:p>
    <w:p w14:paraId="7B672685" w14:textId="4EB9389D" w:rsidR="003704C1" w:rsidRPr="00BD7335" w:rsidRDefault="00000000">
      <w:pPr>
        <w:spacing w:before="60" w:after="60"/>
        <w:jc w:val="both"/>
        <w:rPr>
          <w:sz w:val="24"/>
          <w:szCs w:val="24"/>
        </w:rPr>
      </w:pPr>
      <w:r w:rsidRPr="00BD7335">
        <w:rPr>
          <w:sz w:val="24"/>
          <w:szCs w:val="24"/>
        </w:rPr>
        <w:t xml:space="preserve">Les dossiers de candidature doivent être transmis au plus tard le </w:t>
      </w:r>
      <w:r w:rsidRPr="00BD7335">
        <w:rPr>
          <w:b/>
          <w:bCs/>
          <w:color w:val="EE0000"/>
          <w:sz w:val="24"/>
          <w:szCs w:val="24"/>
        </w:rPr>
        <w:t>2</w:t>
      </w:r>
      <w:r w:rsidR="00BD7335" w:rsidRPr="00BD7335">
        <w:rPr>
          <w:b/>
          <w:bCs/>
          <w:color w:val="EE0000"/>
          <w:sz w:val="24"/>
          <w:szCs w:val="24"/>
        </w:rPr>
        <w:t>9</w:t>
      </w:r>
      <w:r w:rsidRPr="00BD7335">
        <w:rPr>
          <w:b/>
          <w:bCs/>
          <w:color w:val="EE0000"/>
          <w:sz w:val="24"/>
          <w:szCs w:val="24"/>
        </w:rPr>
        <w:t xml:space="preserve"> avril 2026 à 15h00</w:t>
      </w:r>
      <w:r w:rsidRPr="00BD7335">
        <w:rPr>
          <w:color w:val="EE0000"/>
          <w:sz w:val="24"/>
          <w:szCs w:val="24"/>
        </w:rPr>
        <w:t xml:space="preserve"> </w:t>
      </w:r>
      <w:r w:rsidRPr="00BD7335">
        <w:rPr>
          <w:sz w:val="24"/>
          <w:szCs w:val="24"/>
        </w:rPr>
        <w:t>selon l’un des modes suivants :</w:t>
      </w:r>
    </w:p>
    <w:p w14:paraId="3F3DAA3D" w14:textId="77777777" w:rsidR="003704C1" w:rsidRPr="00BD7335" w:rsidRDefault="003704C1">
      <w:pPr>
        <w:spacing w:before="40" w:after="20"/>
        <w:rPr>
          <w:sz w:val="24"/>
          <w:szCs w:val="24"/>
        </w:rPr>
      </w:pPr>
    </w:p>
    <w:p w14:paraId="3BB8AB9F" w14:textId="77777777" w:rsidR="003704C1" w:rsidRPr="00BD7335" w:rsidRDefault="00000000">
      <w:pPr>
        <w:pStyle w:val="Paragraphedeliste"/>
        <w:numPr>
          <w:ilvl w:val="0"/>
          <w:numId w:val="2"/>
        </w:numPr>
        <w:spacing w:before="40" w:after="40"/>
        <w:jc w:val="both"/>
        <w:rPr>
          <w:sz w:val="24"/>
          <w:szCs w:val="24"/>
        </w:rPr>
      </w:pPr>
      <w:r w:rsidRPr="00BD7335">
        <w:rPr>
          <w:sz w:val="24"/>
          <w:szCs w:val="24"/>
        </w:rPr>
        <w:t>Par voie électronique à l’adresse : atiost.sida.toxicomanie@gmail.com ;</w:t>
      </w:r>
    </w:p>
    <w:p w14:paraId="369CB4D9" w14:textId="77777777" w:rsidR="003704C1" w:rsidRPr="00BD7335" w:rsidRDefault="00000000">
      <w:pPr>
        <w:pStyle w:val="Paragraphedeliste"/>
        <w:numPr>
          <w:ilvl w:val="0"/>
          <w:numId w:val="2"/>
        </w:numPr>
        <w:spacing w:before="40" w:after="40"/>
        <w:jc w:val="both"/>
        <w:rPr>
          <w:sz w:val="24"/>
          <w:szCs w:val="24"/>
        </w:rPr>
      </w:pPr>
      <w:r w:rsidRPr="00BD7335">
        <w:rPr>
          <w:sz w:val="24"/>
          <w:szCs w:val="24"/>
        </w:rPr>
        <w:t>Sous pli fermé déposé au siège de l’ATIOST : 43, Avenue Hédi Saïdi, 1005 Tunis (Bureau d’Ordre, contre accusé de réception).</w:t>
      </w:r>
    </w:p>
    <w:p w14:paraId="34D2CA9D" w14:textId="77777777" w:rsidR="003704C1" w:rsidRPr="00BD7335" w:rsidRDefault="003704C1">
      <w:pPr>
        <w:spacing w:before="60" w:after="40"/>
        <w:rPr>
          <w:sz w:val="24"/>
          <w:szCs w:val="24"/>
        </w:rPr>
      </w:pPr>
    </w:p>
    <w:p w14:paraId="15B3C473" w14:textId="77777777" w:rsidR="003704C1" w:rsidRPr="00BD7335" w:rsidRDefault="00000000">
      <w:pPr>
        <w:spacing w:before="60" w:after="60"/>
        <w:jc w:val="both"/>
        <w:rPr>
          <w:sz w:val="24"/>
          <w:szCs w:val="24"/>
        </w:rPr>
      </w:pPr>
      <w:r w:rsidRPr="00BD7335">
        <w:rPr>
          <w:sz w:val="24"/>
          <w:szCs w:val="24"/>
        </w:rPr>
        <w:t>Les dossiers doivent porter la mention obligatoire suivante :</w:t>
      </w:r>
    </w:p>
    <w:p w14:paraId="2C843A55" w14:textId="77777777" w:rsidR="003704C1" w:rsidRPr="00BD7335" w:rsidRDefault="00000000">
      <w:pPr>
        <w:spacing w:before="80" w:after="80"/>
        <w:jc w:val="center"/>
        <w:rPr>
          <w:sz w:val="24"/>
          <w:szCs w:val="24"/>
        </w:rPr>
      </w:pPr>
      <w:r w:rsidRPr="00BD7335">
        <w:rPr>
          <w:b/>
          <w:bCs/>
          <w:sz w:val="24"/>
          <w:szCs w:val="24"/>
        </w:rPr>
        <w:t>« Candidature – Commissaire aux Comptes ATIOST 2026-2028 – Réf. AAC-ATIOST-CAC-2026 »</w:t>
      </w:r>
    </w:p>
    <w:p w14:paraId="67BE9E73" w14:textId="2A949588" w:rsidR="003704C1" w:rsidRPr="00BD7335" w:rsidRDefault="00000000">
      <w:pPr>
        <w:spacing w:before="40" w:after="60"/>
        <w:rPr>
          <w:color w:val="EE0000"/>
          <w:sz w:val="24"/>
          <w:szCs w:val="24"/>
        </w:rPr>
      </w:pPr>
      <w:r w:rsidRPr="00BD7335">
        <w:rPr>
          <w:b/>
          <w:bCs/>
          <w:sz w:val="24"/>
          <w:szCs w:val="24"/>
        </w:rPr>
        <w:t xml:space="preserve">Date limite de réception des candidatures : </w:t>
      </w:r>
      <w:r w:rsidRPr="00BD7335">
        <w:rPr>
          <w:b/>
          <w:bCs/>
          <w:color w:val="EE0000"/>
          <w:sz w:val="24"/>
          <w:szCs w:val="24"/>
        </w:rPr>
        <w:t>2</w:t>
      </w:r>
      <w:r w:rsidR="00BD7335" w:rsidRPr="00BD7335">
        <w:rPr>
          <w:b/>
          <w:bCs/>
          <w:color w:val="EE0000"/>
          <w:sz w:val="24"/>
          <w:szCs w:val="24"/>
        </w:rPr>
        <w:t>9</w:t>
      </w:r>
      <w:r w:rsidRPr="00BD7335">
        <w:rPr>
          <w:b/>
          <w:bCs/>
          <w:color w:val="EE0000"/>
          <w:sz w:val="24"/>
          <w:szCs w:val="24"/>
        </w:rPr>
        <w:t xml:space="preserve"> avril 2026 à 15h00</w:t>
      </w:r>
    </w:p>
    <w:p w14:paraId="16D19E3C" w14:textId="77777777" w:rsidR="003704C1" w:rsidRPr="00BD7335" w:rsidRDefault="00000000">
      <w:pPr>
        <w:spacing w:before="60" w:after="60"/>
        <w:jc w:val="both"/>
        <w:rPr>
          <w:sz w:val="24"/>
          <w:szCs w:val="24"/>
        </w:rPr>
      </w:pPr>
      <w:r w:rsidRPr="00BD7335">
        <w:rPr>
          <w:sz w:val="24"/>
          <w:szCs w:val="24"/>
        </w:rPr>
        <w:t>Tout dossier parvenu après ce délai sera rejeté.</w:t>
      </w:r>
    </w:p>
    <w:p w14:paraId="02B03253" w14:textId="77777777" w:rsidR="003704C1" w:rsidRPr="00BD7335" w:rsidRDefault="00000000">
      <w:pPr>
        <w:spacing w:before="340" w:after="140"/>
        <w:rPr>
          <w:sz w:val="28"/>
          <w:szCs w:val="28"/>
        </w:rPr>
      </w:pPr>
      <w:r w:rsidRPr="00BD7335">
        <w:rPr>
          <w:b/>
          <w:bCs/>
          <w:sz w:val="28"/>
          <w:szCs w:val="28"/>
        </w:rPr>
        <w:t>5. Critères de sélection</w:t>
      </w:r>
    </w:p>
    <w:p w14:paraId="3C875B6A" w14:textId="77777777" w:rsidR="003704C1" w:rsidRPr="00BD7335" w:rsidRDefault="00000000">
      <w:pPr>
        <w:spacing w:before="60" w:after="60"/>
        <w:jc w:val="both"/>
        <w:rPr>
          <w:sz w:val="24"/>
          <w:szCs w:val="24"/>
        </w:rPr>
      </w:pPr>
      <w:r w:rsidRPr="00BD7335">
        <w:rPr>
          <w:sz w:val="24"/>
          <w:szCs w:val="24"/>
        </w:rPr>
        <w:t>Les candidatures seront évaluées sur la base des critères suivants. Les honoraires étant fixés par le barème de l’OECT, l’offre financière ne constitue pas un critère de sélection.</w:t>
      </w:r>
    </w:p>
    <w:p w14:paraId="2FCAD35E" w14:textId="77777777" w:rsidR="003704C1" w:rsidRPr="00BD7335" w:rsidRDefault="003704C1">
      <w:pPr>
        <w:spacing w:before="40" w:after="2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595"/>
        <w:gridCol w:w="1467"/>
      </w:tblGrid>
      <w:tr w:rsidR="00D7119D" w:rsidRPr="00BD7335" w14:paraId="66135416" w14:textId="77777777" w:rsidTr="00D7119D">
        <w:tc>
          <w:tcPr>
            <w:tcW w:w="4271" w:type="pct"/>
            <w:tcBorders>
              <w:top w:val="single" w:sz="1" w:space="0" w:color="CCCCCC"/>
              <w:left w:val="single" w:sz="1" w:space="0" w:color="CCCCCC"/>
              <w:bottom w:val="single" w:sz="1" w:space="0" w:color="CCCCCC"/>
              <w:right w:val="single" w:sz="1" w:space="0" w:color="CCCCCC"/>
            </w:tcBorders>
            <w:shd w:val="clear" w:color="auto" w:fill="D9D9D9"/>
            <w:tcMar>
              <w:top w:w="70" w:type="dxa"/>
              <w:left w:w="120" w:type="dxa"/>
              <w:bottom w:w="70" w:type="dxa"/>
              <w:right w:w="120" w:type="dxa"/>
            </w:tcMar>
          </w:tcPr>
          <w:p w14:paraId="131B902C" w14:textId="77777777" w:rsidR="00D7119D" w:rsidRPr="00BD7335" w:rsidRDefault="00D7119D">
            <w:pPr>
              <w:rPr>
                <w:sz w:val="24"/>
                <w:szCs w:val="24"/>
              </w:rPr>
            </w:pPr>
            <w:r w:rsidRPr="00BD7335">
              <w:rPr>
                <w:b/>
                <w:bCs/>
                <w:sz w:val="24"/>
                <w:szCs w:val="24"/>
              </w:rPr>
              <w:t>Critère d’évaluation</w:t>
            </w:r>
          </w:p>
        </w:tc>
        <w:tc>
          <w:tcPr>
            <w:tcW w:w="729" w:type="pct"/>
            <w:tcBorders>
              <w:top w:val="single" w:sz="1" w:space="0" w:color="CCCCCC"/>
              <w:left w:val="single" w:sz="1" w:space="0" w:color="CCCCCC"/>
              <w:bottom w:val="single" w:sz="1" w:space="0" w:color="CCCCCC"/>
              <w:right w:val="single" w:sz="1" w:space="0" w:color="CCCCCC"/>
            </w:tcBorders>
            <w:shd w:val="clear" w:color="auto" w:fill="D9D9D9"/>
            <w:tcMar>
              <w:top w:w="70" w:type="dxa"/>
              <w:left w:w="80" w:type="dxa"/>
              <w:bottom w:w="70" w:type="dxa"/>
              <w:right w:w="80" w:type="dxa"/>
            </w:tcMar>
          </w:tcPr>
          <w:p w14:paraId="2376A55A" w14:textId="77777777" w:rsidR="00D7119D" w:rsidRPr="00BD7335" w:rsidRDefault="00D7119D">
            <w:pPr>
              <w:jc w:val="center"/>
              <w:rPr>
                <w:sz w:val="24"/>
                <w:szCs w:val="24"/>
              </w:rPr>
            </w:pPr>
            <w:r w:rsidRPr="00BD7335">
              <w:rPr>
                <w:b/>
                <w:bCs/>
                <w:sz w:val="24"/>
                <w:szCs w:val="24"/>
              </w:rPr>
              <w:t>Pondération</w:t>
            </w:r>
          </w:p>
        </w:tc>
      </w:tr>
      <w:tr w:rsidR="00D7119D" w:rsidRPr="00BD7335" w14:paraId="43B92B4F" w14:textId="77777777" w:rsidTr="00D7119D">
        <w:tc>
          <w:tcPr>
            <w:tcW w:w="4271" w:type="pct"/>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0E8DCFAC" w14:textId="77777777" w:rsidR="00D7119D" w:rsidRPr="00BD7335" w:rsidRDefault="00D7119D">
            <w:pPr>
              <w:rPr>
                <w:sz w:val="24"/>
                <w:szCs w:val="24"/>
              </w:rPr>
            </w:pPr>
            <w:r w:rsidRPr="00BD7335">
              <w:rPr>
                <w:sz w:val="24"/>
                <w:szCs w:val="24"/>
              </w:rPr>
              <w:t>Qualifications académiques et statutaires (inscription OECT, habilitation CAC)</w:t>
            </w:r>
          </w:p>
        </w:tc>
        <w:tc>
          <w:tcPr>
            <w:tcW w:w="729" w:type="pct"/>
            <w:tcBorders>
              <w:top w:val="single" w:sz="1" w:space="0" w:color="CCCCCC"/>
              <w:left w:val="single" w:sz="1" w:space="0" w:color="CCCCCC"/>
              <w:bottom w:val="single" w:sz="1" w:space="0" w:color="CCCCCC"/>
              <w:right w:val="single" w:sz="1" w:space="0" w:color="CCCCCC"/>
            </w:tcBorders>
            <w:tcMar>
              <w:top w:w="70" w:type="dxa"/>
              <w:left w:w="80" w:type="dxa"/>
              <w:bottom w:w="70" w:type="dxa"/>
              <w:right w:w="80" w:type="dxa"/>
            </w:tcMar>
          </w:tcPr>
          <w:p w14:paraId="7164C0BD" w14:textId="77777777" w:rsidR="00D7119D" w:rsidRPr="00BD7335" w:rsidRDefault="00D7119D">
            <w:pPr>
              <w:jc w:val="center"/>
              <w:rPr>
                <w:sz w:val="24"/>
                <w:szCs w:val="24"/>
              </w:rPr>
            </w:pPr>
            <w:r w:rsidRPr="00BD7335">
              <w:rPr>
                <w:sz w:val="24"/>
                <w:szCs w:val="24"/>
              </w:rPr>
              <w:t>30 %</w:t>
            </w:r>
          </w:p>
        </w:tc>
      </w:tr>
      <w:tr w:rsidR="00D7119D" w:rsidRPr="00BD7335" w14:paraId="69A5A3C8" w14:textId="77777777" w:rsidTr="00D7119D">
        <w:tc>
          <w:tcPr>
            <w:tcW w:w="4271" w:type="pct"/>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31BF41AD" w14:textId="77777777" w:rsidR="00D7119D" w:rsidRPr="00BD7335" w:rsidRDefault="00D7119D">
            <w:pPr>
              <w:rPr>
                <w:sz w:val="24"/>
                <w:szCs w:val="24"/>
              </w:rPr>
            </w:pPr>
            <w:r w:rsidRPr="00BD7335">
              <w:rPr>
                <w:sz w:val="24"/>
                <w:szCs w:val="24"/>
              </w:rPr>
              <w:t>Expérience générale en audit légal et comptabilité des associations</w:t>
            </w:r>
          </w:p>
        </w:tc>
        <w:tc>
          <w:tcPr>
            <w:tcW w:w="729" w:type="pct"/>
            <w:tcBorders>
              <w:top w:val="single" w:sz="1" w:space="0" w:color="CCCCCC"/>
              <w:left w:val="single" w:sz="1" w:space="0" w:color="CCCCCC"/>
              <w:bottom w:val="single" w:sz="1" w:space="0" w:color="CCCCCC"/>
              <w:right w:val="single" w:sz="1" w:space="0" w:color="CCCCCC"/>
            </w:tcBorders>
            <w:tcMar>
              <w:top w:w="70" w:type="dxa"/>
              <w:left w:w="80" w:type="dxa"/>
              <w:bottom w:w="70" w:type="dxa"/>
              <w:right w:w="80" w:type="dxa"/>
            </w:tcMar>
          </w:tcPr>
          <w:p w14:paraId="11476ABC" w14:textId="77777777" w:rsidR="00D7119D" w:rsidRPr="00BD7335" w:rsidRDefault="00D7119D">
            <w:pPr>
              <w:jc w:val="center"/>
              <w:rPr>
                <w:sz w:val="24"/>
                <w:szCs w:val="24"/>
              </w:rPr>
            </w:pPr>
            <w:r w:rsidRPr="00BD7335">
              <w:rPr>
                <w:sz w:val="24"/>
                <w:szCs w:val="24"/>
              </w:rPr>
              <w:t>30 %</w:t>
            </w:r>
          </w:p>
        </w:tc>
      </w:tr>
      <w:tr w:rsidR="00D7119D" w:rsidRPr="00BD7335" w14:paraId="1C25A328" w14:textId="77777777" w:rsidTr="00D7119D">
        <w:tc>
          <w:tcPr>
            <w:tcW w:w="4271" w:type="pct"/>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1289212D" w14:textId="77777777" w:rsidR="00D7119D" w:rsidRPr="00BD7335" w:rsidRDefault="00D7119D">
            <w:pPr>
              <w:rPr>
                <w:sz w:val="24"/>
                <w:szCs w:val="24"/>
              </w:rPr>
            </w:pPr>
            <w:r w:rsidRPr="00BD7335">
              <w:rPr>
                <w:sz w:val="24"/>
                <w:szCs w:val="24"/>
              </w:rPr>
              <w:t>Expérience spécifique dans le secteur associatif / ONG / bailleurs internationaux</w:t>
            </w:r>
          </w:p>
        </w:tc>
        <w:tc>
          <w:tcPr>
            <w:tcW w:w="729" w:type="pct"/>
            <w:tcBorders>
              <w:top w:val="single" w:sz="1" w:space="0" w:color="CCCCCC"/>
              <w:left w:val="single" w:sz="1" w:space="0" w:color="CCCCCC"/>
              <w:bottom w:val="single" w:sz="1" w:space="0" w:color="CCCCCC"/>
              <w:right w:val="single" w:sz="1" w:space="0" w:color="CCCCCC"/>
            </w:tcBorders>
            <w:tcMar>
              <w:top w:w="70" w:type="dxa"/>
              <w:left w:w="80" w:type="dxa"/>
              <w:bottom w:w="70" w:type="dxa"/>
              <w:right w:w="80" w:type="dxa"/>
            </w:tcMar>
          </w:tcPr>
          <w:p w14:paraId="31CA75F1" w14:textId="77777777" w:rsidR="00D7119D" w:rsidRPr="00BD7335" w:rsidRDefault="00D7119D">
            <w:pPr>
              <w:jc w:val="center"/>
              <w:rPr>
                <w:sz w:val="24"/>
                <w:szCs w:val="24"/>
              </w:rPr>
            </w:pPr>
            <w:r w:rsidRPr="00BD7335">
              <w:rPr>
                <w:sz w:val="24"/>
                <w:szCs w:val="24"/>
              </w:rPr>
              <w:t>20 %</w:t>
            </w:r>
          </w:p>
        </w:tc>
      </w:tr>
      <w:tr w:rsidR="00D7119D" w:rsidRPr="00BD7335" w14:paraId="66FB5944" w14:textId="77777777" w:rsidTr="00D7119D">
        <w:tc>
          <w:tcPr>
            <w:tcW w:w="4271" w:type="pct"/>
            <w:tcBorders>
              <w:top w:val="single" w:sz="1" w:space="0" w:color="CCCCCC"/>
              <w:left w:val="single" w:sz="1" w:space="0" w:color="CCCCCC"/>
              <w:bottom w:val="single" w:sz="1" w:space="0" w:color="CCCCCC"/>
              <w:right w:val="single" w:sz="1" w:space="0" w:color="CCCCCC"/>
            </w:tcBorders>
            <w:tcMar>
              <w:top w:w="70" w:type="dxa"/>
              <w:left w:w="120" w:type="dxa"/>
              <w:bottom w:w="70" w:type="dxa"/>
              <w:right w:w="120" w:type="dxa"/>
            </w:tcMar>
          </w:tcPr>
          <w:p w14:paraId="6AF100FB" w14:textId="77777777" w:rsidR="00D7119D" w:rsidRPr="00BD7335" w:rsidRDefault="00D7119D">
            <w:pPr>
              <w:rPr>
                <w:sz w:val="24"/>
                <w:szCs w:val="24"/>
              </w:rPr>
            </w:pPr>
            <w:r w:rsidRPr="00BD7335">
              <w:rPr>
                <w:sz w:val="24"/>
                <w:szCs w:val="24"/>
              </w:rPr>
              <w:t>Qualité et pertinence de la note méthodologique</w:t>
            </w:r>
          </w:p>
        </w:tc>
        <w:tc>
          <w:tcPr>
            <w:tcW w:w="729" w:type="pct"/>
            <w:tcBorders>
              <w:top w:val="single" w:sz="1" w:space="0" w:color="CCCCCC"/>
              <w:left w:val="single" w:sz="1" w:space="0" w:color="CCCCCC"/>
              <w:bottom w:val="single" w:sz="1" w:space="0" w:color="CCCCCC"/>
              <w:right w:val="single" w:sz="1" w:space="0" w:color="CCCCCC"/>
            </w:tcBorders>
            <w:tcMar>
              <w:top w:w="70" w:type="dxa"/>
              <w:left w:w="80" w:type="dxa"/>
              <w:bottom w:w="70" w:type="dxa"/>
              <w:right w:w="80" w:type="dxa"/>
            </w:tcMar>
          </w:tcPr>
          <w:p w14:paraId="3ABF9A04" w14:textId="77777777" w:rsidR="00D7119D" w:rsidRPr="00BD7335" w:rsidRDefault="00D7119D">
            <w:pPr>
              <w:jc w:val="center"/>
              <w:rPr>
                <w:sz w:val="24"/>
                <w:szCs w:val="24"/>
              </w:rPr>
            </w:pPr>
            <w:r w:rsidRPr="00BD7335">
              <w:rPr>
                <w:sz w:val="24"/>
                <w:szCs w:val="24"/>
              </w:rPr>
              <w:t>20 %</w:t>
            </w:r>
          </w:p>
        </w:tc>
      </w:tr>
    </w:tbl>
    <w:p w14:paraId="539C6131" w14:textId="77777777" w:rsidR="003704C1" w:rsidRPr="00BD7335" w:rsidRDefault="00000000">
      <w:pPr>
        <w:spacing w:before="340" w:after="140"/>
        <w:rPr>
          <w:sz w:val="28"/>
          <w:szCs w:val="28"/>
        </w:rPr>
      </w:pPr>
      <w:r w:rsidRPr="00BD7335">
        <w:rPr>
          <w:b/>
          <w:bCs/>
          <w:sz w:val="28"/>
          <w:szCs w:val="28"/>
        </w:rPr>
        <w:t>6. Durée du mandat</w:t>
      </w:r>
    </w:p>
    <w:p w14:paraId="31496653" w14:textId="77777777" w:rsidR="003704C1" w:rsidRPr="00BD7335" w:rsidRDefault="00000000">
      <w:pPr>
        <w:spacing w:before="60" w:after="60"/>
        <w:jc w:val="both"/>
        <w:rPr>
          <w:sz w:val="24"/>
          <w:szCs w:val="24"/>
        </w:rPr>
      </w:pPr>
      <w:r w:rsidRPr="00BD7335">
        <w:rPr>
          <w:sz w:val="24"/>
          <w:szCs w:val="24"/>
        </w:rPr>
        <w:t xml:space="preserve">Le Commissaire aux Comptes sera désigné pour un mandat de trois (03) exercices comptables couvrant les années 2026, 2027 et 2028, conformément aux dispositions du Décret-loi n° 2011-88 du 24 septembre </w:t>
      </w:r>
      <w:r w:rsidRPr="00BD7335">
        <w:rPr>
          <w:sz w:val="24"/>
          <w:szCs w:val="24"/>
        </w:rPr>
        <w:lastRenderedPageBreak/>
        <w:t>2011 portant organisation des associations, et aux normes professionnelles de l’OECT. Les honoraires seront fixés conformément au barème en vigueur de l’OECT.</w:t>
      </w:r>
    </w:p>
    <w:p w14:paraId="67E7499A" w14:textId="77777777" w:rsidR="003704C1" w:rsidRPr="00BD7335" w:rsidRDefault="003704C1">
      <w:pPr>
        <w:spacing w:before="60" w:after="40"/>
        <w:rPr>
          <w:sz w:val="24"/>
          <w:szCs w:val="24"/>
        </w:rPr>
      </w:pPr>
    </w:p>
    <w:p w14:paraId="2EFF95C7" w14:textId="77777777" w:rsidR="003704C1" w:rsidRPr="00BD7335" w:rsidRDefault="00000000">
      <w:pPr>
        <w:spacing w:before="60" w:after="60"/>
        <w:jc w:val="both"/>
        <w:rPr>
          <w:sz w:val="24"/>
          <w:szCs w:val="24"/>
        </w:rPr>
      </w:pPr>
      <w:r w:rsidRPr="00BD7335">
        <w:rPr>
          <w:sz w:val="24"/>
          <w:szCs w:val="24"/>
        </w:rPr>
        <w:t>Le cadre normatif applicable comprend notamment :</w:t>
      </w:r>
    </w:p>
    <w:p w14:paraId="1E21BE4C" w14:textId="77777777" w:rsidR="003704C1" w:rsidRPr="00BD7335" w:rsidRDefault="003704C1">
      <w:pPr>
        <w:spacing w:before="30" w:after="10"/>
        <w:rPr>
          <w:sz w:val="24"/>
          <w:szCs w:val="24"/>
        </w:rPr>
      </w:pPr>
    </w:p>
    <w:p w14:paraId="0F8E3CA2" w14:textId="77777777" w:rsidR="003704C1" w:rsidRPr="00BD7335" w:rsidRDefault="00000000">
      <w:pPr>
        <w:pStyle w:val="Paragraphedeliste"/>
        <w:numPr>
          <w:ilvl w:val="0"/>
          <w:numId w:val="2"/>
        </w:numPr>
        <w:spacing w:before="40" w:after="40"/>
        <w:jc w:val="both"/>
        <w:rPr>
          <w:sz w:val="24"/>
          <w:szCs w:val="24"/>
        </w:rPr>
      </w:pPr>
      <w:r w:rsidRPr="00BD7335">
        <w:rPr>
          <w:sz w:val="24"/>
          <w:szCs w:val="24"/>
        </w:rPr>
        <w:t>Décret-loi n° 2011-88 du 24 septembre 2011, portant organisation des associations (Tunisie) ;</w:t>
      </w:r>
    </w:p>
    <w:p w14:paraId="5EB8D037" w14:textId="77777777" w:rsidR="003704C1" w:rsidRPr="00BD7335" w:rsidRDefault="00000000">
      <w:pPr>
        <w:pStyle w:val="Paragraphedeliste"/>
        <w:numPr>
          <w:ilvl w:val="0"/>
          <w:numId w:val="2"/>
        </w:numPr>
        <w:spacing w:before="40" w:after="40"/>
        <w:jc w:val="both"/>
        <w:rPr>
          <w:sz w:val="24"/>
          <w:szCs w:val="24"/>
        </w:rPr>
      </w:pPr>
      <w:r w:rsidRPr="00BD7335">
        <w:rPr>
          <w:sz w:val="24"/>
          <w:szCs w:val="24"/>
        </w:rPr>
        <w:t>Normes professionnelles et barème des honoraires de l’Ordre des Experts Comptables de Tunisie (OECT) ;</w:t>
      </w:r>
    </w:p>
    <w:p w14:paraId="7318C51D" w14:textId="77777777" w:rsidR="003704C1" w:rsidRPr="00BD7335" w:rsidRDefault="00000000">
      <w:pPr>
        <w:pStyle w:val="Paragraphedeliste"/>
        <w:numPr>
          <w:ilvl w:val="0"/>
          <w:numId w:val="2"/>
        </w:numPr>
        <w:spacing w:before="40" w:after="40"/>
        <w:jc w:val="both"/>
        <w:rPr>
          <w:sz w:val="24"/>
          <w:szCs w:val="24"/>
        </w:rPr>
      </w:pPr>
      <w:r w:rsidRPr="00BD7335">
        <w:rPr>
          <w:sz w:val="24"/>
          <w:szCs w:val="24"/>
        </w:rPr>
        <w:t>Normes Internationales d’Audit (ISA), dans la mesure où elles sont adoptées par l’OECT ;</w:t>
      </w:r>
    </w:p>
    <w:p w14:paraId="184EE266" w14:textId="77777777" w:rsidR="003704C1" w:rsidRPr="00BD7335" w:rsidRDefault="00000000">
      <w:pPr>
        <w:pStyle w:val="Paragraphedeliste"/>
        <w:numPr>
          <w:ilvl w:val="0"/>
          <w:numId w:val="2"/>
        </w:numPr>
        <w:spacing w:before="40" w:after="40"/>
        <w:jc w:val="both"/>
        <w:rPr>
          <w:sz w:val="24"/>
          <w:szCs w:val="24"/>
        </w:rPr>
      </w:pPr>
      <w:r w:rsidRPr="00BD7335">
        <w:rPr>
          <w:sz w:val="24"/>
          <w:szCs w:val="24"/>
        </w:rPr>
        <w:t>Système Comptable des Entreprises (SCE) et règles spécifiques aux associations tunisiennes.</w:t>
      </w:r>
    </w:p>
    <w:p w14:paraId="25501615" w14:textId="77777777" w:rsidR="003704C1" w:rsidRPr="00BD7335" w:rsidRDefault="00000000">
      <w:pPr>
        <w:spacing w:before="340" w:after="140"/>
        <w:rPr>
          <w:sz w:val="28"/>
          <w:szCs w:val="28"/>
        </w:rPr>
      </w:pPr>
      <w:r w:rsidRPr="00BD7335">
        <w:rPr>
          <w:b/>
          <w:bCs/>
          <w:sz w:val="28"/>
          <w:szCs w:val="28"/>
        </w:rPr>
        <w:t>7. Dispositions finales</w:t>
      </w:r>
    </w:p>
    <w:p w14:paraId="0C6BF1DC" w14:textId="77777777" w:rsidR="003704C1" w:rsidRPr="00BD7335" w:rsidRDefault="00000000">
      <w:pPr>
        <w:pStyle w:val="Paragraphedeliste"/>
        <w:numPr>
          <w:ilvl w:val="0"/>
          <w:numId w:val="2"/>
        </w:numPr>
        <w:spacing w:before="40" w:after="40"/>
        <w:jc w:val="both"/>
        <w:rPr>
          <w:sz w:val="24"/>
          <w:szCs w:val="24"/>
        </w:rPr>
      </w:pPr>
      <w:r w:rsidRPr="00BD7335">
        <w:rPr>
          <w:sz w:val="24"/>
          <w:szCs w:val="24"/>
        </w:rPr>
        <w:t>L’ATIOST se réserve le droit de solliciter tout document ou information complémentaire qu’elle jugerait nécessaire à l’appréciation des candidatures ;</w:t>
      </w:r>
    </w:p>
    <w:p w14:paraId="242A2A50" w14:textId="77777777" w:rsidR="003704C1" w:rsidRPr="00BD7335" w:rsidRDefault="00000000">
      <w:pPr>
        <w:pStyle w:val="Paragraphedeliste"/>
        <w:numPr>
          <w:ilvl w:val="0"/>
          <w:numId w:val="2"/>
        </w:numPr>
        <w:spacing w:before="40" w:after="40"/>
        <w:jc w:val="both"/>
        <w:rPr>
          <w:sz w:val="24"/>
          <w:szCs w:val="24"/>
        </w:rPr>
      </w:pPr>
      <w:r w:rsidRPr="00BD7335">
        <w:rPr>
          <w:sz w:val="24"/>
          <w:szCs w:val="24"/>
        </w:rPr>
        <w:t>L’ATIOST se réserve le droit de ne pas donner suite au présent appel à candidature, sans obligation de motivation ni engagement de dédommagement ;</w:t>
      </w:r>
    </w:p>
    <w:p w14:paraId="00A60B0B" w14:textId="77777777" w:rsidR="003704C1" w:rsidRPr="00BD7335" w:rsidRDefault="00000000">
      <w:pPr>
        <w:pStyle w:val="Paragraphedeliste"/>
        <w:numPr>
          <w:ilvl w:val="0"/>
          <w:numId w:val="2"/>
        </w:numPr>
        <w:spacing w:before="40" w:after="40"/>
        <w:jc w:val="both"/>
        <w:rPr>
          <w:sz w:val="24"/>
          <w:szCs w:val="24"/>
        </w:rPr>
      </w:pPr>
      <w:r w:rsidRPr="00BD7335">
        <w:rPr>
          <w:sz w:val="24"/>
          <w:szCs w:val="24"/>
        </w:rPr>
        <w:t>Les candidatures retenues à l’issue de la présélection seront soumises à l’approbation de l’Assemblée Générale conformément aux statuts de l’association ;</w:t>
      </w:r>
    </w:p>
    <w:p w14:paraId="7D025F83" w14:textId="0C366777" w:rsidR="003704C1" w:rsidRPr="00BD7335" w:rsidRDefault="00000000">
      <w:pPr>
        <w:pStyle w:val="Paragraphedeliste"/>
        <w:numPr>
          <w:ilvl w:val="0"/>
          <w:numId w:val="2"/>
        </w:numPr>
        <w:spacing w:before="40" w:after="40"/>
        <w:jc w:val="both"/>
        <w:rPr>
          <w:sz w:val="24"/>
          <w:szCs w:val="24"/>
        </w:rPr>
      </w:pPr>
      <w:r w:rsidRPr="00BD7335">
        <w:rPr>
          <w:sz w:val="24"/>
          <w:szCs w:val="24"/>
        </w:rPr>
        <w:t>Seuls les candidats présélectionnés seront contactés à l’issue du processus d’évaluation</w:t>
      </w:r>
      <w:r w:rsidR="00D7119D" w:rsidRPr="00BD7335">
        <w:rPr>
          <w:sz w:val="24"/>
          <w:szCs w:val="24"/>
        </w:rPr>
        <w:t>.</w:t>
      </w:r>
    </w:p>
    <w:p w14:paraId="151F4624" w14:textId="77777777" w:rsidR="003704C1" w:rsidRPr="00BD7335" w:rsidRDefault="003704C1">
      <w:pPr>
        <w:spacing w:before="300" w:after="60"/>
        <w:rPr>
          <w:sz w:val="24"/>
          <w:szCs w:val="24"/>
        </w:rPr>
      </w:pPr>
    </w:p>
    <w:p w14:paraId="6BD29D1B" w14:textId="47CE89EA" w:rsidR="003704C1" w:rsidRPr="00BD7335" w:rsidRDefault="00000000" w:rsidP="00BD7335">
      <w:pPr>
        <w:spacing w:before="60" w:after="40"/>
        <w:jc w:val="right"/>
        <w:rPr>
          <w:b/>
          <w:bCs/>
          <w:sz w:val="24"/>
          <w:szCs w:val="24"/>
        </w:rPr>
      </w:pPr>
      <w:r w:rsidRPr="00BD7335">
        <w:rPr>
          <w:b/>
          <w:bCs/>
          <w:i/>
          <w:iCs/>
          <w:sz w:val="24"/>
          <w:szCs w:val="24"/>
        </w:rPr>
        <w:t xml:space="preserve">Fait à Tunis, le </w:t>
      </w:r>
      <w:r w:rsidR="00BD7335" w:rsidRPr="00BD7335">
        <w:rPr>
          <w:b/>
          <w:bCs/>
          <w:i/>
          <w:iCs/>
          <w:sz w:val="24"/>
          <w:szCs w:val="24"/>
        </w:rPr>
        <w:t>14</w:t>
      </w:r>
      <w:r w:rsidRPr="00BD7335">
        <w:rPr>
          <w:b/>
          <w:bCs/>
          <w:i/>
          <w:iCs/>
          <w:sz w:val="24"/>
          <w:szCs w:val="24"/>
        </w:rPr>
        <w:t xml:space="preserve"> avril 2026</w:t>
      </w:r>
    </w:p>
    <w:sectPr w:rsidR="003704C1" w:rsidRPr="00BD7335">
      <w:headerReference w:type="default" r:id="rId7"/>
      <w:footerReference w:type="default" r:id="rId8"/>
      <w:pgSz w:w="11906" w:h="16838"/>
      <w:pgMar w:top="993" w:right="849" w:bottom="709" w:left="993" w:header="701"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8DC9" w14:textId="77777777" w:rsidR="00F42908" w:rsidRDefault="00F42908">
      <w:r>
        <w:separator/>
      </w:r>
    </w:p>
  </w:endnote>
  <w:endnote w:type="continuationSeparator" w:id="0">
    <w:p w14:paraId="065A7C90" w14:textId="77777777" w:rsidR="00F42908" w:rsidRDefault="00F4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C533D" w14:textId="77777777" w:rsidR="003704C1" w:rsidRDefault="00000000">
    <w:pPr>
      <w:jc w:val="center"/>
    </w:pPr>
    <w:r>
      <w:rPr>
        <w:sz w:val="18"/>
        <w:szCs w:val="18"/>
      </w:rPr>
      <w:t>Page </w:t>
    </w:r>
    <w:r>
      <w:rPr>
        <w:sz w:val="18"/>
        <w:szCs w:val="18"/>
      </w:rPr>
      <w:fldChar w:fldCharType="begin"/>
    </w:r>
    <w:r>
      <w:rPr>
        <w:sz w:val="18"/>
        <w:szCs w:val="18"/>
      </w:rPr>
      <w:instrText>PAGE</w:instrText>
    </w:r>
    <w:r>
      <w:rPr>
        <w:sz w:val="18"/>
        <w:szCs w:val="18"/>
      </w:rPr>
      <w:fldChar w:fldCharType="separate"/>
    </w:r>
    <w:r w:rsidR="006B57B5">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BAC1" w14:textId="77777777" w:rsidR="00F42908" w:rsidRDefault="00F42908">
      <w:r>
        <w:separator/>
      </w:r>
    </w:p>
  </w:footnote>
  <w:footnote w:type="continuationSeparator" w:id="0">
    <w:p w14:paraId="40BDEDDA" w14:textId="77777777" w:rsidR="00F42908" w:rsidRDefault="00F4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C57E" w14:textId="74225B18" w:rsidR="00BD7335" w:rsidRDefault="00BD7335" w:rsidP="00BD7335">
    <w:pPr>
      <w:pStyle w:val="En-tte"/>
      <w:pBdr>
        <w:bottom w:val="single" w:sz="4" w:space="1" w:color="auto"/>
      </w:pBdr>
    </w:pPr>
    <w:r>
      <w:rPr>
        <w:rFonts w:asciiTheme="minorBidi" w:hAnsiTheme="minorBidi" w:cstheme="minorBidi"/>
        <w:b/>
        <w:bCs/>
        <w:noProof/>
        <w:color w:val="000000" w:themeColor="text1"/>
        <w:sz w:val="32"/>
        <w:szCs w:val="32"/>
        <w:rtl/>
      </w:rPr>
      <w:drawing>
        <wp:anchor distT="0" distB="0" distL="114300" distR="114300" simplePos="0" relativeHeight="251659264" behindDoc="0" locked="0" layoutInCell="1" allowOverlap="1" wp14:anchorId="74ACE0FE" wp14:editId="6FFBDD6F">
          <wp:simplePos x="0" y="0"/>
          <wp:positionH relativeFrom="column">
            <wp:posOffset>-121920</wp:posOffset>
          </wp:positionH>
          <wp:positionV relativeFrom="paragraph">
            <wp:posOffset>-358140</wp:posOffset>
          </wp:positionV>
          <wp:extent cx="762000" cy="533400"/>
          <wp:effectExtent l="19050" t="0" r="0" b="0"/>
          <wp:wrapNone/>
          <wp:docPr id="2" name="Image 1" descr="C:\Documents and Settings\HP\Mes documents\Downloads\logo ati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P\Mes documents\Downloads\logo atiost.jpg"/>
                  <pic:cNvPicPr>
                    <a:picLocks noChangeAspect="1" noChangeArrowheads="1"/>
                  </pic:cNvPicPr>
                </pic:nvPicPr>
                <pic:blipFill>
                  <a:blip r:embed="rId1"/>
                  <a:srcRect/>
                  <a:stretch>
                    <a:fillRect/>
                  </a:stretch>
                </pic:blipFill>
                <pic:spPr bwMode="auto">
                  <a:xfrm>
                    <a:off x="0" y="0"/>
                    <a:ext cx="762000" cy="533400"/>
                  </a:xfrm>
                  <a:prstGeom prst="rect">
                    <a:avLst/>
                  </a:prstGeom>
                  <a:noFill/>
                  <a:ln w="9525">
                    <a:noFill/>
                    <a:miter lim="800000"/>
                    <a:headEnd/>
                    <a:tailEnd/>
                  </a:ln>
                </pic:spPr>
              </pic:pic>
            </a:graphicData>
          </a:graphic>
        </wp:anchor>
      </w:drawing>
    </w:r>
    <w:r>
      <w:t xml:space="preserve">                                </w:t>
    </w:r>
    <w:r w:rsidRPr="00BD7335">
      <w:t xml:space="preserve">       Association Tunisienne d’Information et d’Orientation sur le Sida et la Toxicomanie</w:t>
    </w:r>
  </w:p>
  <w:p w14:paraId="193C8194" w14:textId="6CA0E0F6" w:rsidR="00BD7335" w:rsidRDefault="00BD7335" w:rsidP="00BD7335">
    <w:pPr>
      <w:pStyle w:val="En-tte"/>
      <w:pBdr>
        <w:bottom w:val="single" w:sz="4" w:space="1" w:color="auto"/>
      </w:pBdr>
      <w:jc w:val="center"/>
    </w:pPr>
    <w:r w:rsidRPr="00BD7335">
      <w:rPr>
        <w:rtl/>
      </w:rPr>
      <w:t xml:space="preserve">الجمعية التونسية للإرشاد والتوجيه حول مرض السيدا </w:t>
    </w:r>
    <w:proofErr w:type="gramStart"/>
    <w:r w:rsidRPr="00BD7335">
      <w:rPr>
        <w:rtl/>
      </w:rPr>
      <w:t>و الإدمان</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07CA5"/>
    <w:multiLevelType w:val="hybridMultilevel"/>
    <w:tmpl w:val="43EAC574"/>
    <w:lvl w:ilvl="0" w:tplc="721E4DE0">
      <w:start w:val="1"/>
      <w:numFmt w:val="bullet"/>
      <w:lvlText w:val="•"/>
      <w:lvlJc w:val="left"/>
      <w:pPr>
        <w:ind w:left="720" w:hanging="360"/>
      </w:pPr>
    </w:lvl>
    <w:lvl w:ilvl="1" w:tplc="019C279C">
      <w:numFmt w:val="decimal"/>
      <w:lvlText w:val=""/>
      <w:lvlJc w:val="left"/>
    </w:lvl>
    <w:lvl w:ilvl="2" w:tplc="0A907F52">
      <w:numFmt w:val="decimal"/>
      <w:lvlText w:val=""/>
      <w:lvlJc w:val="left"/>
    </w:lvl>
    <w:lvl w:ilvl="3" w:tplc="F04C2B8C">
      <w:numFmt w:val="decimal"/>
      <w:lvlText w:val=""/>
      <w:lvlJc w:val="left"/>
    </w:lvl>
    <w:lvl w:ilvl="4" w:tplc="17E62D8A">
      <w:numFmt w:val="decimal"/>
      <w:lvlText w:val=""/>
      <w:lvlJc w:val="left"/>
    </w:lvl>
    <w:lvl w:ilvl="5" w:tplc="7C00ADA6">
      <w:numFmt w:val="decimal"/>
      <w:lvlText w:val=""/>
      <w:lvlJc w:val="left"/>
    </w:lvl>
    <w:lvl w:ilvl="6" w:tplc="52EA46A4">
      <w:numFmt w:val="decimal"/>
      <w:lvlText w:val=""/>
      <w:lvlJc w:val="left"/>
    </w:lvl>
    <w:lvl w:ilvl="7" w:tplc="7D349C28">
      <w:numFmt w:val="decimal"/>
      <w:lvlText w:val=""/>
      <w:lvlJc w:val="left"/>
    </w:lvl>
    <w:lvl w:ilvl="8" w:tplc="352C5982">
      <w:numFmt w:val="decimal"/>
      <w:lvlText w:val=""/>
      <w:lvlJc w:val="left"/>
    </w:lvl>
  </w:abstractNum>
  <w:abstractNum w:abstractNumId="1" w15:restartNumberingAfterBreak="0">
    <w:nsid w:val="772E60F8"/>
    <w:multiLevelType w:val="hybridMultilevel"/>
    <w:tmpl w:val="6AFCDB5E"/>
    <w:lvl w:ilvl="0" w:tplc="68420BFA">
      <w:start w:val="1"/>
      <w:numFmt w:val="bullet"/>
      <w:lvlText w:val="●"/>
      <w:lvlJc w:val="left"/>
      <w:pPr>
        <w:ind w:left="720" w:hanging="360"/>
      </w:pPr>
    </w:lvl>
    <w:lvl w:ilvl="1" w:tplc="E9C83076">
      <w:start w:val="1"/>
      <w:numFmt w:val="bullet"/>
      <w:lvlText w:val="○"/>
      <w:lvlJc w:val="left"/>
      <w:pPr>
        <w:ind w:left="1440" w:hanging="360"/>
      </w:pPr>
    </w:lvl>
    <w:lvl w:ilvl="2" w:tplc="65F60368">
      <w:start w:val="1"/>
      <w:numFmt w:val="bullet"/>
      <w:lvlText w:val="■"/>
      <w:lvlJc w:val="left"/>
      <w:pPr>
        <w:ind w:left="2160" w:hanging="360"/>
      </w:pPr>
    </w:lvl>
    <w:lvl w:ilvl="3" w:tplc="287A441A">
      <w:start w:val="1"/>
      <w:numFmt w:val="bullet"/>
      <w:lvlText w:val="●"/>
      <w:lvlJc w:val="left"/>
      <w:pPr>
        <w:ind w:left="2880" w:hanging="360"/>
      </w:pPr>
    </w:lvl>
    <w:lvl w:ilvl="4" w:tplc="FA6EDABE">
      <w:start w:val="1"/>
      <w:numFmt w:val="bullet"/>
      <w:lvlText w:val="○"/>
      <w:lvlJc w:val="left"/>
      <w:pPr>
        <w:ind w:left="3600" w:hanging="360"/>
      </w:pPr>
    </w:lvl>
    <w:lvl w:ilvl="5" w:tplc="58007C6C">
      <w:start w:val="1"/>
      <w:numFmt w:val="bullet"/>
      <w:lvlText w:val="■"/>
      <w:lvlJc w:val="left"/>
      <w:pPr>
        <w:ind w:left="4320" w:hanging="360"/>
      </w:pPr>
    </w:lvl>
    <w:lvl w:ilvl="6" w:tplc="9FDC6146">
      <w:start w:val="1"/>
      <w:numFmt w:val="bullet"/>
      <w:lvlText w:val="●"/>
      <w:lvlJc w:val="left"/>
      <w:pPr>
        <w:ind w:left="5040" w:hanging="360"/>
      </w:pPr>
    </w:lvl>
    <w:lvl w:ilvl="7" w:tplc="10086378">
      <w:start w:val="1"/>
      <w:numFmt w:val="bullet"/>
      <w:lvlText w:val="●"/>
      <w:lvlJc w:val="left"/>
      <w:pPr>
        <w:ind w:left="5760" w:hanging="360"/>
      </w:pPr>
    </w:lvl>
    <w:lvl w:ilvl="8" w:tplc="67907B88">
      <w:start w:val="1"/>
      <w:numFmt w:val="bullet"/>
      <w:lvlText w:val="●"/>
      <w:lvlJc w:val="left"/>
      <w:pPr>
        <w:ind w:left="6480" w:hanging="360"/>
      </w:pPr>
    </w:lvl>
  </w:abstractNum>
  <w:num w:numId="1" w16cid:durableId="582491277">
    <w:abstractNumId w:val="1"/>
    <w:lvlOverride w:ilvl="0">
      <w:startOverride w:val="1"/>
    </w:lvlOverride>
  </w:num>
  <w:num w:numId="2" w16cid:durableId="15820596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C1"/>
    <w:rsid w:val="003704C1"/>
    <w:rsid w:val="003A2762"/>
    <w:rsid w:val="004816CC"/>
    <w:rsid w:val="00626275"/>
    <w:rsid w:val="006B57B5"/>
    <w:rsid w:val="009513E1"/>
    <w:rsid w:val="00BD7335"/>
    <w:rsid w:val="00C06E2A"/>
    <w:rsid w:val="00C7640E"/>
    <w:rsid w:val="00D7119D"/>
    <w:rsid w:val="00F429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6F0D"/>
  <w15:docId w15:val="{5ACFA9FB-32F1-4240-B2CE-5A6DF7E1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Strong1">
    <w:name w:val="Strong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BD7335"/>
    <w:pPr>
      <w:tabs>
        <w:tab w:val="center" w:pos="4536"/>
        <w:tab w:val="right" w:pos="9072"/>
      </w:tabs>
    </w:pPr>
  </w:style>
  <w:style w:type="character" w:customStyle="1" w:styleId="En-tteCar">
    <w:name w:val="En-tête Car"/>
    <w:basedOn w:val="Policepardfaut"/>
    <w:link w:val="En-tte"/>
    <w:uiPriority w:val="99"/>
    <w:rsid w:val="00BD7335"/>
  </w:style>
  <w:style w:type="paragraph" w:styleId="Pieddepage">
    <w:name w:val="footer"/>
    <w:basedOn w:val="Normal"/>
    <w:link w:val="PieddepageCar"/>
    <w:uiPriority w:val="99"/>
    <w:unhideWhenUsed/>
    <w:rsid w:val="00BD7335"/>
    <w:pPr>
      <w:tabs>
        <w:tab w:val="center" w:pos="4536"/>
        <w:tab w:val="right" w:pos="9072"/>
      </w:tabs>
    </w:pPr>
  </w:style>
  <w:style w:type="character" w:customStyle="1" w:styleId="PieddepageCar">
    <w:name w:val="Pied de page Car"/>
    <w:basedOn w:val="Policepardfaut"/>
    <w:link w:val="Pieddepage"/>
    <w:uiPriority w:val="99"/>
    <w:rsid w:val="00BD7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saloua jaadi</cp:lastModifiedBy>
  <cp:revision>2</cp:revision>
  <dcterms:created xsi:type="dcterms:W3CDTF">2026-04-14T09:53:00Z</dcterms:created>
  <dcterms:modified xsi:type="dcterms:W3CDTF">2026-04-14T09:53:00Z</dcterms:modified>
</cp:coreProperties>
</file>