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AB" w:rsidRDefault="005C31AB">
      <w:pPr>
        <w:jc w:val="center"/>
        <w:rPr>
          <w:b/>
          <w:sz w:val="32"/>
          <w:szCs w:val="32"/>
        </w:rPr>
      </w:pPr>
    </w:p>
    <w:p w:rsidR="005C31AB" w:rsidRDefault="005C31AB">
      <w:pPr>
        <w:jc w:val="center"/>
        <w:rPr>
          <w:b/>
          <w:sz w:val="32"/>
          <w:szCs w:val="32"/>
        </w:rPr>
      </w:pPr>
    </w:p>
    <w:p w:rsidR="005C31AB" w:rsidRDefault="005C31AB">
      <w:pPr>
        <w:jc w:val="center"/>
        <w:rPr>
          <w:b/>
          <w:sz w:val="32"/>
          <w:szCs w:val="32"/>
        </w:rPr>
      </w:pPr>
    </w:p>
    <w:p w:rsidR="005C31AB" w:rsidRDefault="00E93C89">
      <w:pPr>
        <w:jc w:val="center"/>
        <w:rPr>
          <w:b/>
          <w:color w:val="FF0000"/>
          <w:sz w:val="32"/>
          <w:szCs w:val="32"/>
        </w:rPr>
      </w:pPr>
      <w:bookmarkStart w:id="0" w:name="_heading=h.30j0zll" w:colFirst="0" w:colLast="0"/>
      <w:bookmarkEnd w:id="0"/>
      <w:r>
        <w:rPr>
          <w:b/>
          <w:color w:val="FF0000"/>
          <w:sz w:val="32"/>
          <w:szCs w:val="32"/>
        </w:rPr>
        <w:t xml:space="preserve">TDR : </w:t>
      </w:r>
      <w:r>
        <w:rPr>
          <w:b/>
          <w:color w:val="FF0000"/>
          <w:sz w:val="32"/>
          <w:szCs w:val="32"/>
        </w:rPr>
        <w:br/>
      </w:r>
      <w:r>
        <w:rPr>
          <w:b/>
          <w:color w:val="FF0000"/>
        </w:rPr>
        <w:t>Consultant  pour</w:t>
      </w:r>
      <w:r>
        <w:rPr>
          <w:b/>
          <w:color w:val="FF0000"/>
          <w:sz w:val="32"/>
          <w:szCs w:val="32"/>
        </w:rPr>
        <w:t xml:space="preserve"> </w:t>
      </w:r>
      <w:r>
        <w:rPr>
          <w:b/>
          <w:color w:val="FF0000"/>
        </w:rPr>
        <w:t>Mettre en place un mécanisme de veille juridique pour défendre les militants des mouvements sociaux qui sont sujets aux violences, généralement institutionnalisés</w:t>
      </w:r>
    </w:p>
    <w:p w:rsidR="005C31AB" w:rsidRDefault="00E93C89">
      <w:pPr>
        <w:jc w:val="center"/>
        <w:rPr>
          <w:b/>
          <w:color w:val="FF0000"/>
          <w:sz w:val="32"/>
          <w:szCs w:val="32"/>
        </w:rPr>
      </w:pPr>
      <w:r>
        <w:rPr>
          <w:b/>
          <w:color w:val="FF0000"/>
        </w:rPr>
        <w:t>Projet RHRN2 / Tunisie</w:t>
      </w:r>
    </w:p>
    <w:p w:rsidR="005C31AB" w:rsidRDefault="005C31AB">
      <w:pPr>
        <w:jc w:val="center"/>
        <w:rPr>
          <w:b/>
          <w:sz w:val="32"/>
          <w:szCs w:val="32"/>
        </w:rPr>
      </w:pPr>
    </w:p>
    <w:p w:rsidR="005C31AB" w:rsidRDefault="00E93C89">
      <w:pPr>
        <w:jc w:val="both"/>
        <w:rPr>
          <w:b/>
          <w:color w:val="FF0000"/>
          <w:sz w:val="24"/>
          <w:szCs w:val="24"/>
        </w:rPr>
      </w:pPr>
      <w:bookmarkStart w:id="1" w:name="_heading=h.1fob9te" w:colFirst="0" w:colLast="0"/>
      <w:bookmarkEnd w:id="1"/>
      <w:r>
        <w:rPr>
          <w:b/>
          <w:color w:val="FF0000"/>
          <w:sz w:val="24"/>
          <w:szCs w:val="24"/>
        </w:rPr>
        <w:t>Contexte &amp; Justification</w:t>
      </w:r>
    </w:p>
    <w:p w:rsidR="005C31AB" w:rsidRDefault="00E93C89">
      <w:pPr>
        <w:shd w:val="clear" w:color="auto" w:fill="FFFFFF"/>
        <w:spacing w:after="0"/>
        <w:rPr>
          <w:color w:val="222222"/>
        </w:rPr>
      </w:pPr>
      <w:r>
        <w:rPr>
          <w:color w:val="222222"/>
        </w:rPr>
        <w:t>L’association Tunisienne de Lutte contre les Maladies Sexuellement Transmissibles et le sida</w:t>
      </w:r>
    </w:p>
    <w:p w:rsidR="005C31AB" w:rsidRDefault="00E93C89">
      <w:pPr>
        <w:shd w:val="clear" w:color="auto" w:fill="FFFFFF"/>
        <w:spacing w:after="0"/>
        <w:rPr>
          <w:color w:val="222222"/>
        </w:rPr>
      </w:pPr>
      <w:r>
        <w:rPr>
          <w:color w:val="222222"/>
        </w:rPr>
        <w:t>(ATL MST sida Tunis). Créée en 1990, est la première association de lutte contre le sida en</w:t>
      </w:r>
    </w:p>
    <w:p w:rsidR="005C31AB" w:rsidRDefault="00E93C89">
      <w:pPr>
        <w:shd w:val="clear" w:color="auto" w:fill="FFFFFF"/>
        <w:spacing w:after="0"/>
        <w:rPr>
          <w:color w:val="222222"/>
        </w:rPr>
      </w:pPr>
      <w:r>
        <w:rPr>
          <w:color w:val="222222"/>
        </w:rPr>
        <w:t xml:space="preserve">Tunisie. </w:t>
      </w:r>
    </w:p>
    <w:p w:rsidR="005C31AB" w:rsidRDefault="005C31AB">
      <w:pPr>
        <w:shd w:val="clear" w:color="auto" w:fill="FFFFFF"/>
        <w:spacing w:after="0"/>
        <w:rPr>
          <w:color w:val="222222"/>
        </w:rPr>
      </w:pPr>
    </w:p>
    <w:p w:rsidR="005C31AB" w:rsidRDefault="00E93C89">
      <w:r>
        <w:t xml:space="preserve">Le programme Right </w:t>
      </w:r>
      <w:proofErr w:type="spellStart"/>
      <w:r>
        <w:t>Here</w:t>
      </w:r>
      <w:proofErr w:type="spellEnd"/>
      <w:r>
        <w:t xml:space="preserve"> Right </w:t>
      </w:r>
      <w:proofErr w:type="spellStart"/>
      <w:r>
        <w:t>Now</w:t>
      </w:r>
      <w:proofErr w:type="spellEnd"/>
      <w:r>
        <w:t xml:space="preserve"> 2 (RHRN2) est établi pour </w:t>
      </w:r>
      <w:r>
        <w:t>permettre aux jeunes dans toute leur diversité de jouir de leur santé et de leurs droits sexuels et reproductifs (SDSR) au sein de sociétés justes en termes de genre. Les jeunes sont au premier plan du programme qui cherche à libérer le pouvoir de la jeune</w:t>
      </w:r>
      <w:r>
        <w:t>sse, à assurer l’information et l’éducation en matière de SDSR, à accroître le soutien de l’opinion publique pour la SDSR, à améliorer les politiques et les lois, et à renforcer la société civile. Le lobbying et le plaidoyer constituent une stratégie princ</w:t>
      </w:r>
      <w:r>
        <w:t>ipale, soutenus par un renforcement mutuel des capacités.</w:t>
      </w:r>
    </w:p>
    <w:p w:rsidR="005C31AB" w:rsidRDefault="00E93C89">
      <w:r>
        <w:t>Les pays cibles du consortium sont la Tunisie, l’Indonésie, le Bangladesh, le Bénin, le Burundi, l’Éthiopie, le Kenya, le Maroc, le Népal et l’Ouganda. La période de la mise en œuvre du programme es</w:t>
      </w:r>
      <w:r>
        <w:t>t de 5 ans (2021-2025).</w:t>
      </w:r>
    </w:p>
    <w:p w:rsidR="005C31AB" w:rsidRDefault="00E93C89">
      <w:pPr>
        <w:rPr>
          <w:color w:val="222222"/>
        </w:rPr>
      </w:pPr>
      <w:r>
        <w:t>En Tunisie, le programme sera mis en œuvre par un consortium constitué de 4 Associations ATSR</w:t>
      </w:r>
      <w:r w:rsidR="00C929C3">
        <w:t>, l’ATL</w:t>
      </w:r>
      <w:r>
        <w:t xml:space="preserve"> MST SIDA Tunis, weYouth, Y-PEER.</w:t>
      </w:r>
    </w:p>
    <w:p w:rsidR="005C31AB" w:rsidRDefault="00E93C89">
      <w:pPr>
        <w:shd w:val="clear" w:color="auto" w:fill="FFFFFF"/>
        <w:spacing w:after="0"/>
      </w:pPr>
      <w:r>
        <w:t xml:space="preserve">A cet effet, l’ATL lance un appel à candidature pour le poste d’un Consultant pour </w:t>
      </w:r>
      <w:r>
        <w:t xml:space="preserve"> mettre e</w:t>
      </w:r>
      <w:r>
        <w:t>n place un mécanisme de veille juridique pour défendre les militants des mouvements sociaux qui sont sujets aux violences, généralement institutionnalisés</w:t>
      </w:r>
    </w:p>
    <w:p w:rsidR="005C31AB" w:rsidRDefault="005C31AB">
      <w:pPr>
        <w:shd w:val="clear" w:color="auto" w:fill="FFFFFF"/>
        <w:spacing w:after="0"/>
      </w:pPr>
    </w:p>
    <w:p w:rsidR="005C31AB" w:rsidRDefault="00E93C89">
      <w:pPr>
        <w:rPr>
          <w:color w:val="FF0000"/>
        </w:rPr>
      </w:pPr>
      <w:r>
        <w:rPr>
          <w:color w:val="FF0000"/>
        </w:rPr>
        <w:t xml:space="preserve"> </w:t>
      </w:r>
    </w:p>
    <w:p w:rsidR="005C31AB" w:rsidRDefault="005C31AB">
      <w:pPr>
        <w:rPr>
          <w:b/>
          <w:color w:val="FF0000"/>
        </w:rPr>
      </w:pPr>
    </w:p>
    <w:p w:rsidR="005C31AB" w:rsidRDefault="005C31AB">
      <w:pPr>
        <w:rPr>
          <w:b/>
          <w:color w:val="FF0000"/>
        </w:rPr>
      </w:pPr>
    </w:p>
    <w:p w:rsidR="005C31AB" w:rsidRDefault="005C31AB">
      <w:pPr>
        <w:rPr>
          <w:b/>
          <w:color w:val="FF0000"/>
        </w:rPr>
      </w:pPr>
    </w:p>
    <w:p w:rsidR="00C929C3" w:rsidRDefault="00C929C3">
      <w:pPr>
        <w:rPr>
          <w:b/>
          <w:color w:val="FF0000"/>
        </w:rPr>
      </w:pPr>
    </w:p>
    <w:p w:rsidR="005C31AB" w:rsidRDefault="005C31AB">
      <w:pPr>
        <w:rPr>
          <w:b/>
          <w:color w:val="FF0000"/>
        </w:rPr>
      </w:pPr>
    </w:p>
    <w:p w:rsidR="00C929C3" w:rsidRDefault="00C929C3">
      <w:pPr>
        <w:rPr>
          <w:b/>
          <w:color w:val="FF0000"/>
        </w:rPr>
      </w:pPr>
    </w:p>
    <w:p w:rsidR="00C929C3" w:rsidRDefault="00C929C3">
      <w:pPr>
        <w:rPr>
          <w:b/>
          <w:color w:val="FF0000"/>
        </w:rPr>
      </w:pPr>
    </w:p>
    <w:p w:rsidR="00C929C3" w:rsidRDefault="00C929C3">
      <w:pPr>
        <w:rPr>
          <w:b/>
          <w:color w:val="FF0000"/>
        </w:rPr>
      </w:pPr>
    </w:p>
    <w:p w:rsidR="00C929C3" w:rsidRDefault="00C929C3">
      <w:pPr>
        <w:rPr>
          <w:b/>
          <w:color w:val="FF0000"/>
        </w:rPr>
      </w:pPr>
    </w:p>
    <w:p w:rsidR="005C31AB" w:rsidRDefault="00E93C89">
      <w:pPr>
        <w:rPr>
          <w:b/>
          <w:color w:val="FF0000"/>
        </w:rPr>
      </w:pPr>
      <w:r>
        <w:rPr>
          <w:b/>
          <w:color w:val="FF0000"/>
        </w:rPr>
        <w:t>Tâches et responsabilités :</w:t>
      </w:r>
    </w:p>
    <w:p w:rsidR="005C31AB" w:rsidRDefault="005C31AB">
      <w:pPr>
        <w:spacing w:after="0"/>
        <w:ind w:left="720"/>
      </w:pPr>
      <w:bookmarkStart w:id="2" w:name="_heading=h.xv4hvugqg58p" w:colFirst="0" w:colLast="0"/>
      <w:bookmarkEnd w:id="2"/>
    </w:p>
    <w:p w:rsidR="005C31AB" w:rsidRDefault="00E93C89">
      <w:pPr>
        <w:numPr>
          <w:ilvl w:val="0"/>
          <w:numId w:val="2"/>
        </w:numPr>
        <w:spacing w:after="0"/>
      </w:pPr>
      <w:bookmarkStart w:id="3" w:name="_heading=h.raz2aekawqj0" w:colFirst="0" w:colLast="0"/>
      <w:bookmarkEnd w:id="3"/>
      <w:r>
        <w:t>Mobilisation des organisations thématiques et présentation des fi</w:t>
      </w:r>
      <w:r>
        <w:t xml:space="preserve">ches de signalement </w:t>
      </w:r>
    </w:p>
    <w:p w:rsidR="005C31AB" w:rsidRDefault="00E93C89">
      <w:pPr>
        <w:numPr>
          <w:ilvl w:val="0"/>
          <w:numId w:val="2"/>
        </w:numPr>
        <w:spacing w:after="0"/>
      </w:pPr>
      <w:bookmarkStart w:id="4" w:name="_heading=h.kmq8hdejftes" w:colFirst="0" w:colLast="0"/>
      <w:bookmarkEnd w:id="4"/>
      <w:r>
        <w:t>suivie des fiches et du processus de collecte des données (stigmatisations, discriminations …)</w:t>
      </w:r>
    </w:p>
    <w:p w:rsidR="005C31AB" w:rsidRDefault="00E93C89">
      <w:pPr>
        <w:numPr>
          <w:ilvl w:val="0"/>
          <w:numId w:val="2"/>
        </w:numPr>
        <w:spacing w:after="0"/>
      </w:pPr>
      <w:bookmarkStart w:id="5" w:name="_heading=h.gjdgxs" w:colFirst="0" w:colLast="0"/>
      <w:bookmarkEnd w:id="5"/>
      <w:r>
        <w:t xml:space="preserve">Rédaction d’un rapport </w:t>
      </w:r>
    </w:p>
    <w:p w:rsidR="005C31AB" w:rsidRDefault="00E93C89">
      <w:pPr>
        <w:numPr>
          <w:ilvl w:val="0"/>
          <w:numId w:val="2"/>
        </w:numPr>
        <w:spacing w:after="0"/>
      </w:pPr>
      <w:bookmarkStart w:id="6" w:name="_heading=h.reea7omx0qle" w:colFirst="0" w:colLast="0"/>
      <w:bookmarkEnd w:id="6"/>
      <w:r>
        <w:t xml:space="preserve">préparer </w:t>
      </w:r>
      <w:r w:rsidR="00C929C3">
        <w:t>une</w:t>
      </w:r>
      <w:r>
        <w:t xml:space="preserve"> note de plaidoyer en </w:t>
      </w:r>
      <w:r w:rsidR="00C929C3">
        <w:t>se basant</w:t>
      </w:r>
      <w:r>
        <w:t xml:space="preserve"> sur les données collectées</w:t>
      </w:r>
    </w:p>
    <w:p w:rsidR="005C31AB" w:rsidRDefault="00E93C89">
      <w:pPr>
        <w:numPr>
          <w:ilvl w:val="0"/>
          <w:numId w:val="2"/>
        </w:numPr>
      </w:pPr>
      <w:r>
        <w:t>Participer obligatoirement aux réunions liées aux activités de terrain avec la chargée de projet RHRN/ATL</w:t>
      </w:r>
    </w:p>
    <w:p w:rsidR="005C31AB" w:rsidRDefault="00C929C3">
      <w:pPr>
        <w:rPr>
          <w:b/>
          <w:color w:val="FF0000"/>
        </w:rPr>
      </w:pPr>
      <w:r>
        <w:rPr>
          <w:b/>
          <w:color w:val="FF0000"/>
        </w:rPr>
        <w:t>Livrables :</w:t>
      </w:r>
    </w:p>
    <w:p w:rsidR="005C31AB" w:rsidRDefault="00E93C89">
      <w:pPr>
        <w:numPr>
          <w:ilvl w:val="0"/>
          <w:numId w:val="2"/>
        </w:numPr>
        <w:spacing w:after="0"/>
      </w:pPr>
      <w:r>
        <w:t>la méthodologie détaillant ses différentes phases</w:t>
      </w:r>
    </w:p>
    <w:p w:rsidR="005C31AB" w:rsidRDefault="00E93C89">
      <w:pPr>
        <w:numPr>
          <w:ilvl w:val="0"/>
          <w:numId w:val="2"/>
        </w:numPr>
        <w:spacing w:after="0"/>
      </w:pPr>
      <w:r>
        <w:t>Rapport narratif</w:t>
      </w:r>
    </w:p>
    <w:p w:rsidR="005C31AB" w:rsidRDefault="00E93C89">
      <w:pPr>
        <w:numPr>
          <w:ilvl w:val="0"/>
          <w:numId w:val="2"/>
        </w:numPr>
      </w:pPr>
      <w:r>
        <w:t>note de plaidoyer</w:t>
      </w:r>
    </w:p>
    <w:p w:rsidR="005C31AB" w:rsidRDefault="00E93C89">
      <w:pPr>
        <w:rPr>
          <w:b/>
          <w:color w:val="FF0000"/>
        </w:rPr>
      </w:pPr>
      <w:r>
        <w:rPr>
          <w:b/>
          <w:color w:val="FF0000"/>
        </w:rPr>
        <w:t xml:space="preserve">Durée de la </w:t>
      </w:r>
      <w:r w:rsidR="00C929C3">
        <w:rPr>
          <w:b/>
          <w:color w:val="FF0000"/>
        </w:rPr>
        <w:t>consultation :</w:t>
      </w:r>
    </w:p>
    <w:p w:rsidR="005C31AB" w:rsidRDefault="00E93C89">
      <w:pPr>
        <w:numPr>
          <w:ilvl w:val="0"/>
          <w:numId w:val="3"/>
        </w:numPr>
        <w:spacing w:after="0"/>
      </w:pPr>
      <w:r>
        <w:t xml:space="preserve">10 jours </w:t>
      </w:r>
    </w:p>
    <w:p w:rsidR="005C31AB" w:rsidRDefault="005C31AB">
      <w:pPr>
        <w:rPr>
          <w:b/>
          <w:color w:val="FF0000"/>
        </w:rPr>
      </w:pPr>
    </w:p>
    <w:p w:rsidR="005C31AB" w:rsidRDefault="00E93C89">
      <w:pPr>
        <w:rPr>
          <w:b/>
          <w:color w:val="FF0000"/>
        </w:rPr>
      </w:pPr>
      <w:r>
        <w:rPr>
          <w:b/>
          <w:color w:val="FF0000"/>
        </w:rPr>
        <w:t>Critères d’éligib</w:t>
      </w:r>
      <w:r>
        <w:rPr>
          <w:b/>
          <w:color w:val="FF0000"/>
        </w:rPr>
        <w:t>ilité :</w:t>
      </w:r>
    </w:p>
    <w:p w:rsidR="005C31AB" w:rsidRDefault="00E93C89">
      <w:pPr>
        <w:shd w:val="clear" w:color="auto" w:fill="FFFFFF"/>
        <w:rPr>
          <w:b/>
          <w:color w:val="222222"/>
        </w:rPr>
      </w:pPr>
      <w:r>
        <w:rPr>
          <w:b/>
          <w:color w:val="222222"/>
        </w:rPr>
        <w:t xml:space="preserve">Profil et qualifications </w:t>
      </w:r>
      <w:r w:rsidR="00C929C3">
        <w:rPr>
          <w:b/>
          <w:color w:val="222222"/>
        </w:rPr>
        <w:t>requises :</w:t>
      </w:r>
    </w:p>
    <w:p w:rsidR="005C31AB" w:rsidRDefault="00E93C89">
      <w:pPr>
        <w:numPr>
          <w:ilvl w:val="0"/>
          <w:numId w:val="1"/>
        </w:numPr>
        <w:spacing w:after="0"/>
        <w:rPr>
          <w:color w:val="222222"/>
        </w:rPr>
      </w:pPr>
      <w:r>
        <w:rPr>
          <w:color w:val="222222"/>
        </w:rPr>
        <w:t>Diplôme universitaire (minimum 3 ans) dans le domaine des sciences juridiques ou équivalent</w:t>
      </w:r>
    </w:p>
    <w:p w:rsidR="005C31AB" w:rsidRDefault="00E93C89">
      <w:pPr>
        <w:numPr>
          <w:ilvl w:val="0"/>
          <w:numId w:val="1"/>
        </w:numPr>
        <w:spacing w:after="0" w:line="240" w:lineRule="auto"/>
        <w:jc w:val="both"/>
      </w:pPr>
      <w:r>
        <w:t xml:space="preserve">Connaissance approfondie du contexte tunisien relatif aux jeunes en leur diversité et SDSR </w:t>
      </w:r>
    </w:p>
    <w:p w:rsidR="005C31AB" w:rsidRDefault="00E93C89">
      <w:pPr>
        <w:numPr>
          <w:ilvl w:val="0"/>
          <w:numId w:val="1"/>
        </w:numPr>
        <w:spacing w:after="0" w:line="240" w:lineRule="auto"/>
        <w:jc w:val="both"/>
      </w:pPr>
      <w:r>
        <w:t>Expérience avérée en matière d’assistance juridique</w:t>
      </w:r>
    </w:p>
    <w:p w:rsidR="005C31AB" w:rsidRDefault="00E93C89">
      <w:pPr>
        <w:numPr>
          <w:ilvl w:val="0"/>
          <w:numId w:val="1"/>
        </w:numPr>
        <w:spacing w:after="0" w:line="240" w:lineRule="auto"/>
        <w:jc w:val="both"/>
      </w:pPr>
      <w:r>
        <w:t>Fait preuve de sensibilité et d'adaptabilité en matière de culture, de sexe, de religion et d'âge</w:t>
      </w:r>
    </w:p>
    <w:p w:rsidR="005C31AB" w:rsidRDefault="00E93C89">
      <w:pPr>
        <w:numPr>
          <w:ilvl w:val="0"/>
          <w:numId w:val="1"/>
        </w:numPr>
        <w:spacing w:after="0" w:line="240" w:lineRule="auto"/>
        <w:jc w:val="both"/>
      </w:pPr>
      <w:r>
        <w:t xml:space="preserve">Respecte les principes fondamentaux des droits de l’homme (Approche transformatrice de genre, </w:t>
      </w:r>
      <w:r>
        <w:t>,</w:t>
      </w:r>
      <w:r>
        <w:t xml:space="preserve"> participation significative et inclusive des jeunes)</w:t>
      </w:r>
      <w:bookmarkStart w:id="7" w:name="_GoBack"/>
      <w:bookmarkEnd w:id="7"/>
    </w:p>
    <w:p w:rsidR="005C31AB" w:rsidRDefault="00E93C89">
      <w:pPr>
        <w:numPr>
          <w:ilvl w:val="0"/>
          <w:numId w:val="1"/>
        </w:numPr>
        <w:shd w:val="clear" w:color="auto" w:fill="FFFFFF"/>
        <w:spacing w:after="0"/>
        <w:rPr>
          <w:color w:val="222222"/>
        </w:rPr>
      </w:pPr>
      <w:r>
        <w:rPr>
          <w:color w:val="222222"/>
        </w:rPr>
        <w:t>Expérience relative aux populations clés et vulnérables.</w:t>
      </w:r>
    </w:p>
    <w:p w:rsidR="005C31AB" w:rsidRDefault="00E93C89">
      <w:pPr>
        <w:numPr>
          <w:ilvl w:val="0"/>
          <w:numId w:val="1"/>
        </w:numPr>
        <w:spacing w:after="0"/>
        <w:rPr>
          <w:color w:val="222222"/>
        </w:rPr>
      </w:pPr>
      <w:r>
        <w:rPr>
          <w:color w:val="222222"/>
        </w:rPr>
        <w:t xml:space="preserve">Ayant une expérience minimum </w:t>
      </w:r>
      <w:r>
        <w:rPr>
          <w:color w:val="222222"/>
          <w:highlight w:val="white"/>
        </w:rPr>
        <w:t xml:space="preserve">de deux </w:t>
      </w:r>
      <w:r>
        <w:rPr>
          <w:color w:val="222222"/>
        </w:rPr>
        <w:t>dans le milieu associatif et particulièrement dans des associations travaillant avec les populations à compo</w:t>
      </w:r>
      <w:r>
        <w:rPr>
          <w:color w:val="222222"/>
        </w:rPr>
        <w:t>rtement à haut risque</w:t>
      </w:r>
    </w:p>
    <w:p w:rsidR="005C31AB" w:rsidRDefault="00E93C89">
      <w:pPr>
        <w:numPr>
          <w:ilvl w:val="0"/>
          <w:numId w:val="1"/>
        </w:numPr>
        <w:shd w:val="clear" w:color="auto" w:fill="FFFFFF"/>
        <w:spacing w:after="0" w:line="360" w:lineRule="auto"/>
        <w:jc w:val="both"/>
        <w:rPr>
          <w:color w:val="222222"/>
        </w:rPr>
      </w:pPr>
      <w:r>
        <w:t xml:space="preserve">Maîtrise parfaite de l’arabe, le français </w:t>
      </w:r>
    </w:p>
    <w:p w:rsidR="005C31AB" w:rsidRDefault="005C31AB">
      <w:pPr>
        <w:shd w:val="clear" w:color="auto" w:fill="FFFFFF"/>
        <w:rPr>
          <w:color w:val="222222"/>
        </w:rPr>
      </w:pPr>
    </w:p>
    <w:p w:rsidR="005C31AB" w:rsidRDefault="005C31AB">
      <w:pPr>
        <w:shd w:val="clear" w:color="auto" w:fill="FFFFFF"/>
        <w:rPr>
          <w:b/>
          <w:color w:val="FF0000"/>
        </w:rPr>
      </w:pPr>
    </w:p>
    <w:p w:rsidR="005C31AB" w:rsidRDefault="005C31AB">
      <w:pPr>
        <w:shd w:val="clear" w:color="auto" w:fill="FFFFFF"/>
        <w:rPr>
          <w:b/>
          <w:color w:val="FF0000"/>
        </w:rPr>
      </w:pPr>
    </w:p>
    <w:p w:rsidR="005C31AB" w:rsidRDefault="005C31AB">
      <w:pPr>
        <w:shd w:val="clear" w:color="auto" w:fill="FFFFFF"/>
        <w:rPr>
          <w:b/>
          <w:color w:val="FF0000"/>
        </w:rPr>
      </w:pPr>
    </w:p>
    <w:p w:rsidR="005C31AB" w:rsidRDefault="005C31AB">
      <w:pPr>
        <w:shd w:val="clear" w:color="auto" w:fill="FFFFFF"/>
        <w:rPr>
          <w:b/>
          <w:color w:val="FF0000"/>
        </w:rPr>
      </w:pPr>
    </w:p>
    <w:p w:rsidR="005C31AB" w:rsidRDefault="005C31AB">
      <w:pPr>
        <w:shd w:val="clear" w:color="auto" w:fill="FFFFFF"/>
        <w:rPr>
          <w:b/>
          <w:color w:val="FF0000"/>
        </w:rPr>
      </w:pPr>
    </w:p>
    <w:p w:rsidR="005C31AB" w:rsidRDefault="005C31AB">
      <w:pPr>
        <w:shd w:val="clear" w:color="auto" w:fill="FFFFFF"/>
        <w:rPr>
          <w:b/>
          <w:color w:val="FF0000"/>
        </w:rPr>
      </w:pPr>
    </w:p>
    <w:p w:rsidR="005C31AB" w:rsidRDefault="00E93C89">
      <w:pPr>
        <w:shd w:val="clear" w:color="auto" w:fill="FFFFFF"/>
        <w:rPr>
          <w:b/>
          <w:color w:val="FF0000"/>
          <w:u w:val="single"/>
        </w:rPr>
      </w:pPr>
      <w:r>
        <w:rPr>
          <w:b/>
          <w:color w:val="FF0000"/>
        </w:rPr>
        <w:t xml:space="preserve">Comment </w:t>
      </w:r>
      <w:r w:rsidR="00C929C3">
        <w:rPr>
          <w:b/>
          <w:color w:val="FF0000"/>
        </w:rPr>
        <w:t>postuler ?</w:t>
      </w:r>
    </w:p>
    <w:p w:rsidR="005C31AB" w:rsidRDefault="005C31AB">
      <w:pPr>
        <w:shd w:val="clear" w:color="auto" w:fill="FFFFFF"/>
        <w:rPr>
          <w:b/>
          <w:color w:val="222222"/>
        </w:rPr>
      </w:pPr>
    </w:p>
    <w:p w:rsidR="005C31AB" w:rsidRDefault="00E93C89">
      <w:pPr>
        <w:shd w:val="clear" w:color="auto" w:fill="FFFFFF"/>
        <w:rPr>
          <w:color w:val="FF0000"/>
        </w:rPr>
      </w:pPr>
      <w:r>
        <w:rPr>
          <w:color w:val="222222"/>
        </w:rPr>
        <w:t xml:space="preserve">Le/la candidate devra envoyer sa candidature (CV, Lettre de </w:t>
      </w:r>
      <w:r w:rsidR="00C929C3">
        <w:rPr>
          <w:color w:val="222222"/>
        </w:rPr>
        <w:t xml:space="preserve">motivation, </w:t>
      </w:r>
      <w:r w:rsidR="00C929C3" w:rsidRPr="00C929C3">
        <w:rPr>
          <w:color w:val="222222"/>
        </w:rPr>
        <w:t>Offre financière </w:t>
      </w:r>
      <w:r>
        <w:rPr>
          <w:rFonts w:ascii="Corbel" w:eastAsia="Corbel" w:hAnsi="Corbel" w:cs="Corbel"/>
        </w:rPr>
        <w:t>ainsi qu’une note méthodologique</w:t>
      </w:r>
      <w:r>
        <w:rPr>
          <w:color w:val="222222"/>
        </w:rPr>
        <w:t>) avec objet «</w:t>
      </w:r>
      <w:r>
        <w:t xml:space="preserve"> Consultant pour pour Mettre en place pour Mettre en place un mécanisme de veille juridique</w:t>
      </w:r>
      <w:r>
        <w:rPr>
          <w:color w:val="222222"/>
        </w:rPr>
        <w:t>» au plus tard</w:t>
      </w:r>
      <w:r>
        <w:rPr>
          <w:b/>
          <w:color w:val="222222"/>
        </w:rPr>
        <w:t xml:space="preserve"> le 20 </w:t>
      </w:r>
      <w:r w:rsidR="00C929C3">
        <w:rPr>
          <w:b/>
          <w:color w:val="222222"/>
        </w:rPr>
        <w:t>juillet à</w:t>
      </w:r>
      <w:r>
        <w:rPr>
          <w:b/>
          <w:color w:val="222222"/>
        </w:rPr>
        <w:t xml:space="preserve"> 17h</w:t>
      </w:r>
      <w:r>
        <w:rPr>
          <w:color w:val="222222"/>
        </w:rPr>
        <w:t xml:space="preserve"> aux adresses suivantes : </w:t>
      </w:r>
      <w:hyperlink r:id="rId8">
        <w:r>
          <w:rPr>
            <w:color w:val="1155CC"/>
            <w:u w:val="single"/>
          </w:rPr>
          <w:t>atlsidatunis@gmail.com</w:t>
        </w:r>
      </w:hyperlink>
      <w:r>
        <w:rPr>
          <w:color w:val="FF0000"/>
        </w:rPr>
        <w:t>.</w:t>
      </w:r>
    </w:p>
    <w:p w:rsidR="005C31AB" w:rsidRDefault="00E93C89">
      <w:pPr>
        <w:shd w:val="clear" w:color="auto" w:fill="FFFFFF"/>
        <w:rPr>
          <w:color w:val="FF0000"/>
        </w:rPr>
      </w:pPr>
      <w:hyperlink r:id="rId9">
        <w:r>
          <w:rPr>
            <w:color w:val="1155CC"/>
            <w:u w:val="single"/>
          </w:rPr>
          <w:t>benibrahim.safa@gmail.com</w:t>
        </w:r>
      </w:hyperlink>
    </w:p>
    <w:p w:rsidR="005C31AB" w:rsidRDefault="005C31AB">
      <w:pPr>
        <w:shd w:val="clear" w:color="auto" w:fill="FFFFFF"/>
        <w:rPr>
          <w:color w:val="FF0000"/>
        </w:rPr>
      </w:pPr>
    </w:p>
    <w:p w:rsidR="005C31AB" w:rsidRDefault="00E93C89">
      <w:pPr>
        <w:shd w:val="clear" w:color="auto" w:fill="FFFFFF"/>
        <w:rPr>
          <w:color w:val="222222"/>
        </w:rPr>
      </w:pPr>
      <w:r>
        <w:rPr>
          <w:color w:val="222222"/>
        </w:rPr>
        <w:t>Tout dossier incomplet ou reçu en dehors des délais établis ne sera pas examiné.</w:t>
      </w:r>
    </w:p>
    <w:p w:rsidR="005C31AB" w:rsidRDefault="00E93C89">
      <w:pPr>
        <w:shd w:val="clear" w:color="auto" w:fill="FFFFFF"/>
        <w:rPr>
          <w:b/>
        </w:rPr>
      </w:pPr>
      <w:r>
        <w:rPr>
          <w:color w:val="222222"/>
        </w:rPr>
        <w:t>Seules les candidat(e)s retenu(e)s seront contacté(e)s .</w:t>
      </w:r>
    </w:p>
    <w:sectPr w:rsidR="005C31AB">
      <w:head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89" w:rsidRDefault="00E93C89">
      <w:pPr>
        <w:spacing w:after="0" w:line="240" w:lineRule="auto"/>
      </w:pPr>
      <w:r>
        <w:separator/>
      </w:r>
    </w:p>
  </w:endnote>
  <w:endnote w:type="continuationSeparator" w:id="0">
    <w:p w:rsidR="00E93C89" w:rsidRDefault="00E9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89" w:rsidRDefault="00E93C89">
      <w:pPr>
        <w:spacing w:after="0" w:line="240" w:lineRule="auto"/>
      </w:pPr>
      <w:r>
        <w:separator/>
      </w:r>
    </w:p>
  </w:footnote>
  <w:footnote w:type="continuationSeparator" w:id="0">
    <w:p w:rsidR="00E93C89" w:rsidRDefault="00E93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AB" w:rsidRDefault="00E93C89">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-304796</wp:posOffset>
          </wp:positionH>
          <wp:positionV relativeFrom="paragraph">
            <wp:posOffset>-305432</wp:posOffset>
          </wp:positionV>
          <wp:extent cx="1309370" cy="771525"/>
          <wp:effectExtent l="0" t="0" r="0" b="0"/>
          <wp:wrapNone/>
          <wp:docPr id="6" name="image1.jpg" descr="Logo atl-mst-sida"/>
          <wp:cNvGraphicFramePr/>
          <a:graphic xmlns:a="http://schemas.openxmlformats.org/drawingml/2006/main">
            <a:graphicData uri="http://schemas.openxmlformats.org/drawingml/2006/picture">
              <pic:pic xmlns:pic="http://schemas.openxmlformats.org/drawingml/2006/picture">
                <pic:nvPicPr>
                  <pic:cNvPr id="0" name="image1.jpg" descr="Logo atl-mst-sida"/>
                  <pic:cNvPicPr preferRelativeResize="0"/>
                </pic:nvPicPr>
                <pic:blipFill>
                  <a:blip r:embed="rId1"/>
                  <a:srcRect/>
                  <a:stretch>
                    <a:fillRect/>
                  </a:stretch>
                </pic:blipFill>
                <pic:spPr>
                  <a:xfrm>
                    <a:off x="0" y="0"/>
                    <a:ext cx="1309370" cy="7715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26B6"/>
    <w:multiLevelType w:val="multilevel"/>
    <w:tmpl w:val="8BC6B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270069"/>
    <w:multiLevelType w:val="multilevel"/>
    <w:tmpl w:val="AFE6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ED7563"/>
    <w:multiLevelType w:val="multilevel"/>
    <w:tmpl w:val="5C081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AB"/>
    <w:rsid w:val="005C31AB"/>
    <w:rsid w:val="00C929C3"/>
    <w:rsid w:val="00E93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B33CF-5C8D-4743-857F-AA4264FD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73"/>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4F3273"/>
    <w:pPr>
      <w:tabs>
        <w:tab w:val="center" w:pos="4513"/>
        <w:tab w:val="right" w:pos="9026"/>
      </w:tabs>
      <w:spacing w:after="0" w:line="240" w:lineRule="auto"/>
    </w:pPr>
  </w:style>
  <w:style w:type="character" w:customStyle="1" w:styleId="En-tteCar">
    <w:name w:val="En-tête Car"/>
    <w:basedOn w:val="Policepardfaut"/>
    <w:link w:val="En-tte"/>
    <w:uiPriority w:val="99"/>
    <w:rsid w:val="004F3273"/>
    <w:rPr>
      <w:lang w:val="fr-FR"/>
    </w:rPr>
  </w:style>
  <w:style w:type="paragraph" w:styleId="Pieddepage">
    <w:name w:val="footer"/>
    <w:basedOn w:val="Normal"/>
    <w:link w:val="PieddepageCar"/>
    <w:uiPriority w:val="99"/>
    <w:unhideWhenUsed/>
    <w:rsid w:val="004F32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F3273"/>
    <w:rPr>
      <w:lang w:val="fr-FR"/>
    </w:rPr>
  </w:style>
  <w:style w:type="paragraph" w:styleId="NormalWeb">
    <w:name w:val="Normal (Web)"/>
    <w:basedOn w:val="Normal"/>
    <w:uiPriority w:val="99"/>
    <w:unhideWhenUsed/>
    <w:rsid w:val="003C7E6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3C7E64"/>
    <w:pPr>
      <w:spacing w:after="0" w:line="240" w:lineRule="auto"/>
      <w:ind w:left="708"/>
    </w:pPr>
    <w:rPr>
      <w:rFonts w:ascii="Times New Roman" w:eastAsia="Times New Roman" w:hAnsi="Times New Roman" w:cs="Times New Roman"/>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ibrahim.saf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2NCNq+fp/+7BW+ZZ9wHJ3w+pw==">CgMxLjAyCWguMzBqMHpsbDIJaC4xZm9iOXRlMg5oLnh2NGh2dWdxZzU4cDIOaC5yYXoyYWVrYXdxajAyDmgua21xOGhkZWpmdGVzMghoLmdqZGd4czIOaC5yZWVhN29teDBxbGU4AHIhMVJvTkM5RFhTNDk1UEdodi1yN0lfcXhFdkVLaEc3MWs0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 BEN BRAHIM</cp:lastModifiedBy>
  <cp:revision>2</cp:revision>
  <dcterms:created xsi:type="dcterms:W3CDTF">2021-11-02T18:36:00Z</dcterms:created>
  <dcterms:modified xsi:type="dcterms:W3CDTF">2023-07-14T12:23:00Z</dcterms:modified>
</cp:coreProperties>
</file>