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CF" w:rsidRPr="00F9752A" w:rsidRDefault="009619CF" w:rsidP="003266BC">
      <w:pPr>
        <w:rPr>
          <w:rFonts w:cstheme="minorHAnsi"/>
          <w:b/>
          <w:sz w:val="32"/>
          <w:szCs w:val="32"/>
        </w:rPr>
      </w:pPr>
    </w:p>
    <w:p w:rsidR="009619CF" w:rsidRPr="00F9752A" w:rsidRDefault="009619CF" w:rsidP="009619CF">
      <w:pPr>
        <w:jc w:val="center"/>
        <w:rPr>
          <w:rFonts w:cstheme="minorHAnsi"/>
          <w:b/>
          <w:sz w:val="32"/>
          <w:szCs w:val="32"/>
        </w:rPr>
      </w:pPr>
    </w:p>
    <w:p w:rsidR="009619CF" w:rsidRPr="00F9752A" w:rsidRDefault="00E6623D" w:rsidP="009619CF">
      <w:pPr>
        <w:jc w:val="center"/>
        <w:rPr>
          <w:rFonts w:cstheme="minorHAnsi"/>
          <w:b/>
          <w:sz w:val="32"/>
          <w:szCs w:val="32"/>
        </w:rPr>
      </w:pPr>
      <w:r w:rsidRPr="00E6623D">
        <w:rPr>
          <w:noProof/>
        </w:rPr>
        <w:pict>
          <v:roundrect id="Rectangle à coins arrondis 1" o:spid="_x0000_s2050" style="position:absolute;left:0;text-align:left;margin-left:-17.55pt;margin-top:24.2pt;width:519pt;height:147.3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" filled="f" strokecolor="#1f4d78 [1604]" strokeweight="1pt">
            <v:stroke joinstyle="miter"/>
            <v:path arrowok="t"/>
          </v:roundrect>
        </w:pict>
      </w:r>
    </w:p>
    <w:p w:rsidR="009619CF" w:rsidRPr="00F9752A" w:rsidRDefault="009619CF" w:rsidP="009619CF">
      <w:pPr>
        <w:jc w:val="center"/>
        <w:rPr>
          <w:rFonts w:cstheme="minorHAnsi"/>
          <w:b/>
          <w:sz w:val="32"/>
          <w:szCs w:val="32"/>
        </w:rPr>
      </w:pPr>
    </w:p>
    <w:p w:rsidR="009619CF" w:rsidRPr="00F9752A" w:rsidRDefault="00091205" w:rsidP="00D0346C">
      <w:pPr>
        <w:jc w:val="center"/>
        <w:rPr>
          <w:rFonts w:cstheme="minorHAnsi"/>
          <w:b/>
        </w:rPr>
      </w:pPr>
      <w:r>
        <w:rPr>
          <w:rFonts w:cstheme="minorHAnsi"/>
          <w:b/>
          <w:sz w:val="32"/>
          <w:szCs w:val="32"/>
        </w:rPr>
        <w:t>Terme de référence</w:t>
      </w:r>
      <w:r w:rsidR="00026BBA" w:rsidRPr="00F9752A">
        <w:rPr>
          <w:rFonts w:cstheme="minorHAnsi"/>
          <w:b/>
          <w:sz w:val="32"/>
          <w:szCs w:val="32"/>
        </w:rPr>
        <w:t xml:space="preserve"> : </w:t>
      </w:r>
      <w:r w:rsidR="00026BBA" w:rsidRPr="00F9752A">
        <w:rPr>
          <w:rFonts w:cstheme="minorHAnsi"/>
          <w:b/>
          <w:sz w:val="32"/>
          <w:szCs w:val="32"/>
        </w:rPr>
        <w:br/>
      </w:r>
      <w:r w:rsidRPr="00091205">
        <w:rPr>
          <w:rFonts w:cstheme="minorHAnsi"/>
          <w:b/>
          <w:sz w:val="32"/>
          <w:szCs w:val="32"/>
        </w:rPr>
        <w:t xml:space="preserve">Recrutement d’un </w:t>
      </w:r>
      <w:r w:rsidR="001643BE">
        <w:rPr>
          <w:rFonts w:cstheme="minorHAnsi"/>
          <w:b/>
          <w:sz w:val="32"/>
          <w:szCs w:val="32"/>
        </w:rPr>
        <w:t xml:space="preserve">formateur </w:t>
      </w:r>
      <w:r w:rsidRPr="00091205">
        <w:rPr>
          <w:rFonts w:cstheme="minorHAnsi"/>
          <w:b/>
          <w:sz w:val="32"/>
          <w:szCs w:val="32"/>
        </w:rPr>
        <w:t>pour</w:t>
      </w:r>
      <w:r w:rsidR="00D0346C">
        <w:rPr>
          <w:rFonts w:cstheme="minorHAnsi"/>
          <w:b/>
          <w:sz w:val="32"/>
          <w:szCs w:val="32"/>
        </w:rPr>
        <w:t> </w:t>
      </w:r>
      <w:r w:rsidR="00D0346C" w:rsidRPr="00D0346C">
        <w:rPr>
          <w:rFonts w:cstheme="minorHAnsi"/>
          <w:b/>
          <w:sz w:val="32"/>
          <w:szCs w:val="32"/>
        </w:rPr>
        <w:t>:</w:t>
      </w:r>
      <w:r w:rsidR="00D0346C" w:rsidRPr="00D0346C">
        <w:rPr>
          <w:b/>
          <w:sz w:val="32"/>
          <w:szCs w:val="32"/>
        </w:rPr>
        <w:t xml:space="preserve"> Renforcement des capacités des organisations tunisiennes LGBTQI++ à inclure la santé et le VIH dans leurs programmes - formation Atelier de conception et de suivi et évaluation  </w:t>
      </w:r>
      <w:r w:rsidR="00D0346C">
        <w:rPr>
          <w:rFonts w:cstheme="minorHAnsi"/>
          <w:b/>
          <w:sz w:val="32"/>
          <w:szCs w:val="32"/>
        </w:rPr>
        <w:t>«</w:t>
      </w:r>
      <w:r w:rsidR="002B4F3E">
        <w:rPr>
          <w:rFonts w:cstheme="minorHAnsi"/>
          <w:b/>
          <w:sz w:val="32"/>
          <w:szCs w:val="32"/>
        </w:rPr>
        <w:t> subvention régionale</w:t>
      </w:r>
      <w:r w:rsidR="00DB33A7">
        <w:rPr>
          <w:rFonts w:cstheme="minorHAnsi"/>
          <w:b/>
          <w:sz w:val="32"/>
          <w:szCs w:val="32"/>
        </w:rPr>
        <w:t> »</w:t>
      </w: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9619CF" w:rsidRPr="00F9752A" w:rsidRDefault="009619CF"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026BBA" w:rsidRPr="00F9752A" w:rsidRDefault="00026BBA" w:rsidP="009619CF">
      <w:pPr>
        <w:rPr>
          <w:rFonts w:cstheme="minorHAnsi"/>
          <w:b/>
        </w:rPr>
      </w:pPr>
    </w:p>
    <w:p w:rsidR="002B7EDA" w:rsidRPr="00F9752A" w:rsidRDefault="002B7EDA" w:rsidP="009619CF">
      <w:pPr>
        <w:rPr>
          <w:rFonts w:cstheme="minorHAnsi"/>
          <w:b/>
        </w:rPr>
      </w:pPr>
    </w:p>
    <w:p w:rsidR="003266BC" w:rsidRPr="00F9752A" w:rsidRDefault="003266BC" w:rsidP="009619CF">
      <w:pPr>
        <w:rPr>
          <w:rFonts w:cstheme="minorHAnsi"/>
          <w:b/>
        </w:rPr>
      </w:pPr>
    </w:p>
    <w:p w:rsidR="003A2D02" w:rsidRDefault="003A2D02" w:rsidP="009069A2">
      <w:pPr>
        <w:rPr>
          <w:rFonts w:cstheme="minorHAnsi"/>
          <w:b/>
        </w:rPr>
      </w:pPr>
    </w:p>
    <w:p w:rsidR="003A2D02" w:rsidRDefault="003A2D02" w:rsidP="009069A2">
      <w:pPr>
        <w:rPr>
          <w:rFonts w:cstheme="minorHAnsi"/>
          <w:b/>
        </w:rPr>
      </w:pPr>
    </w:p>
    <w:p w:rsidR="009069A2" w:rsidRPr="002E572D" w:rsidRDefault="008D22C0" w:rsidP="0035245C">
      <w:pPr>
        <w:jc w:val="both"/>
        <w:rPr>
          <w:rFonts w:cstheme="minorHAnsi"/>
          <w:b/>
          <w:sz w:val="24"/>
          <w:szCs w:val="24"/>
        </w:rPr>
      </w:pPr>
      <w:r w:rsidRPr="002E572D">
        <w:rPr>
          <w:rFonts w:cstheme="minorHAnsi"/>
          <w:b/>
          <w:sz w:val="24"/>
          <w:szCs w:val="24"/>
        </w:rPr>
        <w:t>Contexte g</w:t>
      </w:r>
      <w:r w:rsidR="009619CF" w:rsidRPr="002E572D">
        <w:rPr>
          <w:rFonts w:cstheme="minorHAnsi"/>
          <w:b/>
          <w:sz w:val="24"/>
          <w:szCs w:val="24"/>
        </w:rPr>
        <w:t>énéral</w:t>
      </w:r>
      <w:r w:rsidR="00F9752A" w:rsidRPr="002E572D">
        <w:rPr>
          <w:rFonts w:cstheme="minorHAnsi"/>
          <w:b/>
          <w:sz w:val="24"/>
          <w:szCs w:val="24"/>
        </w:rPr>
        <w:t>&amp; Justification</w:t>
      </w:r>
    </w:p>
    <w:p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des populations à haut risque et dans la promotion de l’approche de réduction des risques (RdR) liée à l’usage de drogues injectables.</w:t>
      </w:r>
    </w:p>
    <w:p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ATL MST sida Tunis se fonde sur une approche transversale orientée sur le respect inconditionnel des droits de l’homme ainsi que le respect de l’approche du genre. Sa mission est de contribuer à la riposte du VIH en Tunisie et de réduire son impact à tous les niveaux contribuant ainsi aux efforts nationaux et globaux de lutte contre cette épidémie.</w:t>
      </w:r>
    </w:p>
    <w:p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 xml:space="preserve">Bien que le sida représente, incontestablement, le problème de santé qui </w:t>
      </w:r>
      <w:r w:rsidRPr="002E572D">
        <w:rPr>
          <w:rFonts w:cstheme="minorHAnsi"/>
          <w:bCs/>
          <w:color w:val="000000"/>
          <w:sz w:val="24"/>
          <w:szCs w:val="24"/>
        </w:rPr>
        <w:t xml:space="preserve">a énormément </w:t>
      </w:r>
      <w:r w:rsidRPr="002E572D">
        <w:rPr>
          <w:rFonts w:cstheme="minorHAnsi"/>
          <w:bCs/>
          <w:sz w:val="24"/>
          <w:szCs w:val="24"/>
        </w:rPr>
        <w:t>mobilisé l’humanité en raison de son impact global sur la civilisation humaine, cette mobilisation a concerné tous les domaines :</w:t>
      </w:r>
    </w:p>
    <w:p w:rsidR="003A2D02" w:rsidRPr="002E572D" w:rsidRDefault="003A2D02" w:rsidP="0035245C">
      <w:pPr>
        <w:spacing w:line="360" w:lineRule="auto"/>
        <w:jc w:val="both"/>
        <w:rPr>
          <w:rFonts w:cstheme="minorHAnsi"/>
          <w:bCs/>
          <w:sz w:val="24"/>
          <w:szCs w:val="24"/>
        </w:rPr>
      </w:pPr>
      <w:r w:rsidRPr="002E572D">
        <w:rPr>
          <w:rFonts w:cstheme="minorHAnsi"/>
          <w:bCs/>
          <w:sz w:val="24"/>
          <w:szCs w:val="24"/>
        </w:rPr>
        <w:t>·         Politique illustrée avec l’organisation de plusieurs assemblées générales des Nations Unies, la création du programme commun des NU « ONUSIDA » et l’existence d’un programme national de lutte contre le SIDA (PNLS) dans chaque pays.</w:t>
      </w:r>
    </w:p>
    <w:p w:rsidR="003A2D02" w:rsidRPr="002E572D" w:rsidRDefault="003A2D02" w:rsidP="0035245C">
      <w:pPr>
        <w:spacing w:line="360" w:lineRule="auto"/>
        <w:jc w:val="both"/>
        <w:rPr>
          <w:rFonts w:cstheme="minorHAnsi"/>
          <w:bCs/>
          <w:sz w:val="24"/>
          <w:szCs w:val="24"/>
        </w:rPr>
      </w:pPr>
      <w:r w:rsidRPr="002E572D">
        <w:rPr>
          <w:rFonts w:cstheme="minorHAnsi"/>
          <w:bCs/>
          <w:sz w:val="24"/>
          <w:szCs w:val="24"/>
        </w:rPr>
        <w:t>·         Sociale avec la création de nombreuses associations nationales ainsi que d’organismes internationaux participant à la lutte contre le SIDA et l’exceptionnelle mobilisation des médias pour diffuser les messages préventifs et réduire la stigmatisation liée à cette maladie</w:t>
      </w:r>
    </w:p>
    <w:p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 xml:space="preserve">·         Financière avec une mobilisation des ressources financières </w:t>
      </w:r>
      <w:r w:rsidR="0035245C" w:rsidRPr="002E572D">
        <w:rPr>
          <w:rFonts w:cstheme="minorHAnsi"/>
          <w:bCs/>
          <w:sz w:val="24"/>
          <w:szCs w:val="24"/>
        </w:rPr>
        <w:t>nationales et</w:t>
      </w:r>
      <w:r w:rsidRPr="002E572D">
        <w:rPr>
          <w:rFonts w:cstheme="minorHAnsi"/>
          <w:bCs/>
          <w:sz w:val="24"/>
          <w:szCs w:val="24"/>
        </w:rPr>
        <w:t xml:space="preserve"> internationales. La création du Fonds Mondial de Lutte contre le SIDA, la Tuberculose et le Paludisme, il y a 2 décennies, illustre bien cette mobilisation financière exceptionnelle.</w:t>
      </w:r>
    </w:p>
    <w:p w:rsidR="003A2D02" w:rsidRPr="002E572D" w:rsidRDefault="00EB3288" w:rsidP="0035245C">
      <w:pPr>
        <w:spacing w:after="200" w:line="360" w:lineRule="auto"/>
        <w:jc w:val="both"/>
        <w:rPr>
          <w:rFonts w:cstheme="minorHAnsi"/>
          <w:bCs/>
          <w:sz w:val="24"/>
          <w:szCs w:val="24"/>
        </w:rPr>
      </w:pPr>
      <w:r w:rsidRPr="002E572D">
        <w:rPr>
          <w:rFonts w:cstheme="minorHAnsi"/>
          <w:bCs/>
          <w:sz w:val="24"/>
          <w:szCs w:val="24"/>
        </w:rPr>
        <w:t>·         Scientifique</w:t>
      </w:r>
      <w:r w:rsidR="003A2D02" w:rsidRPr="002E572D">
        <w:rPr>
          <w:rFonts w:cstheme="minorHAnsi"/>
          <w:bCs/>
          <w:sz w:val="24"/>
          <w:szCs w:val="24"/>
        </w:rPr>
        <w:t xml:space="preserve"> avec un développement de la recherche dans tous les domaines. Les acquis de la recherche thérapeutique sont majeurs et ont permis de classer le SIDA, parmi les maladies chroniques. Les avancés des techniques de dépistage et de suivi sont également remarquables.</w:t>
      </w:r>
    </w:p>
    <w:p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De ce fait, afin de garantir la réussite de</w:t>
      </w:r>
      <w:r w:rsidR="00FB62A8" w:rsidRPr="002E572D">
        <w:rPr>
          <w:rFonts w:cstheme="minorHAnsi"/>
          <w:bCs/>
          <w:sz w:val="24"/>
          <w:szCs w:val="24"/>
        </w:rPr>
        <w:t xml:space="preserve"> la mise en œuvre des activités de la subvention régionale, </w:t>
      </w:r>
      <w:r w:rsidRPr="002E572D">
        <w:rPr>
          <w:rFonts w:cstheme="minorHAnsi"/>
          <w:bCs/>
          <w:sz w:val="24"/>
          <w:szCs w:val="24"/>
        </w:rPr>
        <w:t xml:space="preserve"> ATL MST </w:t>
      </w:r>
      <w:r w:rsidRPr="002E572D">
        <w:rPr>
          <w:rFonts w:cstheme="minorHAnsi"/>
          <w:bCs/>
          <w:color w:val="000000"/>
          <w:sz w:val="24"/>
          <w:szCs w:val="24"/>
        </w:rPr>
        <w:t>sida Tunis</w:t>
      </w:r>
      <w:r w:rsidRPr="002E572D">
        <w:rPr>
          <w:rFonts w:cstheme="minorHAnsi"/>
          <w:bCs/>
          <w:sz w:val="24"/>
          <w:szCs w:val="24"/>
        </w:rPr>
        <w:t xml:space="preserve"> souhaite </w:t>
      </w:r>
      <w:r w:rsidRPr="002E572D">
        <w:rPr>
          <w:rFonts w:cstheme="minorHAnsi"/>
          <w:bCs/>
          <w:color w:val="000000"/>
          <w:sz w:val="24"/>
          <w:szCs w:val="24"/>
        </w:rPr>
        <w:t xml:space="preserve">recruter un(e) </w:t>
      </w:r>
      <w:r w:rsidR="0035245C" w:rsidRPr="002E572D">
        <w:rPr>
          <w:rFonts w:cstheme="minorHAnsi"/>
          <w:bCs/>
          <w:color w:val="000000"/>
          <w:sz w:val="24"/>
          <w:szCs w:val="24"/>
        </w:rPr>
        <w:t xml:space="preserve">formateur. </w:t>
      </w:r>
    </w:p>
    <w:p w:rsidR="003A2D02" w:rsidRPr="002E572D" w:rsidRDefault="003A2D02" w:rsidP="008D22C0">
      <w:pPr>
        <w:pStyle w:val="Default"/>
        <w:jc w:val="both"/>
        <w:rPr>
          <w:rFonts w:asciiTheme="minorHAnsi" w:hAnsiTheme="minorHAnsi" w:cstheme="minorHAnsi"/>
        </w:rPr>
      </w:pPr>
    </w:p>
    <w:p w:rsidR="00F9752A" w:rsidRPr="002E572D" w:rsidRDefault="00DE64D6" w:rsidP="008D22C0">
      <w:pPr>
        <w:pStyle w:val="Default"/>
        <w:rPr>
          <w:rFonts w:asciiTheme="minorHAnsi" w:hAnsiTheme="minorHAnsi" w:cstheme="minorHAnsi"/>
          <w:b/>
          <w:bCs/>
        </w:rPr>
      </w:pPr>
      <w:r w:rsidRPr="002E572D">
        <w:rPr>
          <w:rFonts w:asciiTheme="minorHAnsi" w:hAnsiTheme="minorHAnsi" w:cstheme="minorHAnsi"/>
          <w:b/>
          <w:bCs/>
        </w:rPr>
        <w:t xml:space="preserve">2. </w:t>
      </w:r>
      <w:r w:rsidR="00F9752A" w:rsidRPr="002E572D">
        <w:rPr>
          <w:rFonts w:asciiTheme="minorHAnsi" w:hAnsiTheme="minorHAnsi" w:cstheme="minorHAnsi"/>
          <w:b/>
          <w:bCs/>
        </w:rPr>
        <w:t xml:space="preserve">Mission </w:t>
      </w:r>
    </w:p>
    <w:p w:rsidR="00F9752A" w:rsidRPr="002E572D" w:rsidRDefault="00F9752A" w:rsidP="008D22C0">
      <w:pPr>
        <w:pStyle w:val="Default"/>
        <w:rPr>
          <w:rFonts w:asciiTheme="minorHAnsi" w:hAnsiTheme="minorHAnsi" w:cstheme="minorHAnsi"/>
        </w:rPr>
      </w:pPr>
    </w:p>
    <w:p w:rsidR="00E12170" w:rsidRPr="002E572D" w:rsidRDefault="00E976F7" w:rsidP="00580515">
      <w:pPr>
        <w:pStyle w:val="Paragraphedeliste"/>
        <w:numPr>
          <w:ilvl w:val="0"/>
          <w:numId w:val="17"/>
        </w:numPr>
        <w:spacing w:line="360" w:lineRule="auto"/>
        <w:jc w:val="both"/>
        <w:rPr>
          <w:rFonts w:cstheme="minorHAnsi"/>
          <w:bCs/>
        </w:rPr>
      </w:pPr>
      <w:r w:rsidRPr="002E572D">
        <w:rPr>
          <w:rFonts w:cstheme="minorHAnsi"/>
          <w:bCs/>
        </w:rPr>
        <w:t>L’objectif la de consultation est de former et renforcer les capacités des</w:t>
      </w:r>
      <w:r w:rsidR="00E12170" w:rsidRPr="002E572D">
        <w:rPr>
          <w:rFonts w:cstheme="minorHAnsi"/>
          <w:bCs/>
        </w:rPr>
        <w:t xml:space="preserve"> personnes présentes lors des sessions de formations pour </w:t>
      </w:r>
      <w:r w:rsidR="0035245C" w:rsidRPr="002E572D">
        <w:rPr>
          <w:rFonts w:cstheme="minorHAnsi"/>
          <w:bCs/>
        </w:rPr>
        <w:t>le développement et l’appropriation par les participants d’outils et d’instruments de Planification et de Suivi Évaluation permettant d’optimiser les performances des projets de développement</w:t>
      </w:r>
    </w:p>
    <w:p w:rsidR="0035245C" w:rsidRPr="002E572D" w:rsidRDefault="0035245C" w:rsidP="0035245C">
      <w:pPr>
        <w:spacing w:line="360" w:lineRule="auto"/>
        <w:jc w:val="both"/>
        <w:rPr>
          <w:rFonts w:cstheme="minorHAnsi"/>
          <w:bCs/>
        </w:rPr>
      </w:pPr>
    </w:p>
    <w:p w:rsidR="0035245C" w:rsidRPr="002E572D" w:rsidRDefault="0035245C" w:rsidP="0035245C">
      <w:pPr>
        <w:spacing w:line="360" w:lineRule="auto"/>
        <w:jc w:val="both"/>
        <w:rPr>
          <w:rFonts w:cstheme="minorHAnsi"/>
          <w:b/>
        </w:rPr>
      </w:pPr>
      <w:r w:rsidRPr="002E572D">
        <w:rPr>
          <w:rFonts w:cstheme="minorHAnsi"/>
          <w:b/>
        </w:rPr>
        <w:t xml:space="preserve">Objectif </w:t>
      </w:r>
    </w:p>
    <w:p w:rsidR="0035245C" w:rsidRPr="002E572D" w:rsidRDefault="0035245C" w:rsidP="0035245C">
      <w:pPr>
        <w:spacing w:line="360" w:lineRule="auto"/>
        <w:jc w:val="both"/>
        <w:rPr>
          <w:rFonts w:cstheme="minorHAnsi"/>
          <w:bCs/>
        </w:rPr>
      </w:pPr>
      <w:r w:rsidRPr="002E572D">
        <w:rPr>
          <w:rFonts w:cstheme="minorHAnsi"/>
          <w:bCs/>
        </w:rPr>
        <w:t>A l’issue de la formation, les participants seront capables de :</w:t>
      </w:r>
    </w:p>
    <w:p w:rsidR="0035245C" w:rsidRPr="002E572D" w:rsidRDefault="0035245C" w:rsidP="0035245C">
      <w:pPr>
        <w:pStyle w:val="Paragraphedeliste"/>
        <w:numPr>
          <w:ilvl w:val="0"/>
          <w:numId w:val="17"/>
        </w:numPr>
        <w:spacing w:line="360" w:lineRule="auto"/>
        <w:jc w:val="both"/>
        <w:rPr>
          <w:rFonts w:cstheme="minorHAnsi"/>
          <w:bCs/>
        </w:rPr>
      </w:pPr>
      <w:r w:rsidRPr="002E572D">
        <w:rPr>
          <w:rFonts w:cstheme="minorHAnsi"/>
          <w:bCs/>
        </w:rPr>
        <w:t>Améliorer la planification de leurs interventions et définir des indicateurs pertinents de Suivi Évaluation</w:t>
      </w:r>
    </w:p>
    <w:p w:rsidR="0035245C" w:rsidRPr="002E572D" w:rsidRDefault="0035245C" w:rsidP="0035245C">
      <w:pPr>
        <w:pStyle w:val="Paragraphedeliste"/>
        <w:numPr>
          <w:ilvl w:val="0"/>
          <w:numId w:val="17"/>
        </w:numPr>
        <w:spacing w:line="360" w:lineRule="auto"/>
        <w:jc w:val="both"/>
        <w:rPr>
          <w:rFonts w:cstheme="minorHAnsi"/>
          <w:bCs/>
        </w:rPr>
      </w:pPr>
      <w:r w:rsidRPr="002E572D">
        <w:rPr>
          <w:rFonts w:cstheme="minorHAnsi"/>
          <w:bCs/>
        </w:rPr>
        <w:t>Concevoir et faire fonctionner efficacement un système de Suivi Évaluation de projet</w:t>
      </w:r>
    </w:p>
    <w:p w:rsidR="0035245C" w:rsidRPr="002E572D" w:rsidRDefault="0035245C" w:rsidP="0035245C">
      <w:pPr>
        <w:pStyle w:val="Paragraphedeliste"/>
        <w:numPr>
          <w:ilvl w:val="0"/>
          <w:numId w:val="17"/>
        </w:numPr>
        <w:spacing w:line="360" w:lineRule="auto"/>
        <w:jc w:val="both"/>
        <w:rPr>
          <w:rFonts w:cstheme="minorHAnsi"/>
          <w:bCs/>
        </w:rPr>
      </w:pPr>
      <w:r w:rsidRPr="002E572D">
        <w:rPr>
          <w:rFonts w:cstheme="minorHAnsi"/>
          <w:bCs/>
        </w:rPr>
        <w:t>Contribuer à l’optimisation des performances atteintes par leurs projets et programmes</w:t>
      </w:r>
    </w:p>
    <w:p w:rsidR="0035245C" w:rsidRPr="002E572D" w:rsidRDefault="0035245C" w:rsidP="0035245C">
      <w:pPr>
        <w:pStyle w:val="Paragraphedeliste"/>
        <w:spacing w:line="360" w:lineRule="auto"/>
        <w:ind w:left="1440"/>
        <w:jc w:val="both"/>
        <w:rPr>
          <w:rFonts w:cstheme="minorHAnsi"/>
          <w:bCs/>
        </w:rPr>
      </w:pPr>
    </w:p>
    <w:p w:rsidR="00E976F7" w:rsidRPr="002E572D" w:rsidRDefault="00E976F7" w:rsidP="0035245C">
      <w:pPr>
        <w:spacing w:line="360" w:lineRule="auto"/>
        <w:jc w:val="both"/>
        <w:rPr>
          <w:rFonts w:cstheme="minorHAnsi"/>
          <w:b/>
        </w:rPr>
      </w:pPr>
      <w:r w:rsidRPr="002E572D">
        <w:rPr>
          <w:rFonts w:cstheme="minorHAnsi"/>
          <w:b/>
        </w:rPr>
        <w:t>Description des tâches :</w:t>
      </w:r>
    </w:p>
    <w:p w:rsidR="00E976F7" w:rsidRPr="002E572D" w:rsidRDefault="00E976F7" w:rsidP="0035245C">
      <w:pPr>
        <w:spacing w:line="360" w:lineRule="auto"/>
        <w:jc w:val="both"/>
        <w:rPr>
          <w:rFonts w:cstheme="minorHAnsi"/>
          <w:bCs/>
        </w:rPr>
      </w:pPr>
      <w:r w:rsidRPr="002E572D">
        <w:rPr>
          <w:rFonts w:cstheme="minorHAnsi"/>
          <w:bCs/>
        </w:rPr>
        <w:t xml:space="preserve">Sous la supervision </w:t>
      </w:r>
      <w:r w:rsidR="00683BD0" w:rsidRPr="002E572D">
        <w:rPr>
          <w:rFonts w:cstheme="minorHAnsi"/>
          <w:bCs/>
        </w:rPr>
        <w:t>de la chargée</w:t>
      </w:r>
      <w:r w:rsidRPr="002E572D">
        <w:rPr>
          <w:rFonts w:cstheme="minorHAnsi"/>
          <w:bCs/>
        </w:rPr>
        <w:t xml:space="preserve"> de projet </w:t>
      </w:r>
      <w:r w:rsidR="00E12170" w:rsidRPr="002E572D">
        <w:rPr>
          <w:rFonts w:cstheme="minorHAnsi"/>
          <w:bCs/>
        </w:rPr>
        <w:t>subvention régionale</w:t>
      </w:r>
      <w:r w:rsidRPr="002E572D">
        <w:rPr>
          <w:rFonts w:cstheme="minorHAnsi"/>
          <w:bCs/>
        </w:rPr>
        <w:t xml:space="preserve"> de l’ATL, le consultant aura pour mission de développer un programme de formation et l’exécuter pour l</w:t>
      </w:r>
      <w:r w:rsidR="00E12170" w:rsidRPr="002E572D">
        <w:rPr>
          <w:rFonts w:cstheme="minorHAnsi"/>
          <w:bCs/>
        </w:rPr>
        <w:t>es</w:t>
      </w:r>
      <w:r w:rsidRPr="002E572D">
        <w:rPr>
          <w:rFonts w:cstheme="minorHAnsi"/>
          <w:bCs/>
        </w:rPr>
        <w:t xml:space="preserve"> session</w:t>
      </w:r>
      <w:r w:rsidR="00E12170" w:rsidRPr="002E572D">
        <w:rPr>
          <w:rFonts w:cstheme="minorHAnsi"/>
          <w:bCs/>
        </w:rPr>
        <w:t>s</w:t>
      </w:r>
      <w:r w:rsidRPr="002E572D">
        <w:rPr>
          <w:rFonts w:cstheme="minorHAnsi"/>
          <w:bCs/>
        </w:rPr>
        <w:t xml:space="preserve"> de formation</w:t>
      </w:r>
      <w:r w:rsidR="00E12170" w:rsidRPr="002E572D">
        <w:rPr>
          <w:rFonts w:cstheme="minorHAnsi"/>
          <w:bCs/>
        </w:rPr>
        <w:t xml:space="preserve">s </w:t>
      </w:r>
      <w:r w:rsidRPr="002E572D">
        <w:rPr>
          <w:rFonts w:cstheme="minorHAnsi"/>
          <w:bCs/>
        </w:rPr>
        <w:t>planifiée</w:t>
      </w:r>
      <w:r w:rsidR="00E12170" w:rsidRPr="002E572D">
        <w:rPr>
          <w:rFonts w:cstheme="minorHAnsi"/>
          <w:bCs/>
        </w:rPr>
        <w:t>s</w:t>
      </w:r>
    </w:p>
    <w:p w:rsidR="00E976F7" w:rsidRPr="002E572D" w:rsidRDefault="00E976F7" w:rsidP="0035245C">
      <w:pPr>
        <w:spacing w:line="360" w:lineRule="auto"/>
        <w:jc w:val="both"/>
        <w:rPr>
          <w:rFonts w:cstheme="minorHAnsi"/>
          <w:bCs/>
        </w:rPr>
      </w:pPr>
      <w:r w:rsidRPr="002E572D">
        <w:rPr>
          <w:rFonts w:cstheme="minorHAnsi"/>
          <w:bCs/>
        </w:rPr>
        <w:t>La/le consultant.e aura pour activités principales de :</w:t>
      </w:r>
    </w:p>
    <w:p w:rsidR="00E976F7" w:rsidRPr="002E572D" w:rsidRDefault="00E976F7" w:rsidP="00FC0ED4">
      <w:pPr>
        <w:pStyle w:val="Paragraphedeliste"/>
        <w:numPr>
          <w:ilvl w:val="0"/>
          <w:numId w:val="18"/>
        </w:numPr>
        <w:spacing w:line="360" w:lineRule="auto"/>
        <w:jc w:val="both"/>
        <w:rPr>
          <w:rFonts w:cstheme="minorHAnsi"/>
          <w:bCs/>
        </w:rPr>
      </w:pPr>
      <w:r w:rsidRPr="002E572D">
        <w:rPr>
          <w:rFonts w:cstheme="minorHAnsi"/>
          <w:bCs/>
        </w:rPr>
        <w:t>Animer l</w:t>
      </w:r>
      <w:r w:rsidR="00E12170" w:rsidRPr="002E572D">
        <w:rPr>
          <w:rFonts w:cstheme="minorHAnsi"/>
          <w:bCs/>
        </w:rPr>
        <w:t>es</w:t>
      </w:r>
      <w:r w:rsidRPr="002E572D">
        <w:rPr>
          <w:rFonts w:cstheme="minorHAnsi"/>
          <w:bCs/>
        </w:rPr>
        <w:t xml:space="preserve"> session</w:t>
      </w:r>
      <w:r w:rsidR="00E12170" w:rsidRPr="002E572D">
        <w:rPr>
          <w:rFonts w:cstheme="minorHAnsi"/>
          <w:bCs/>
        </w:rPr>
        <w:t>s</w:t>
      </w:r>
      <w:r w:rsidRPr="002E572D">
        <w:rPr>
          <w:rFonts w:cstheme="minorHAnsi"/>
          <w:bCs/>
        </w:rPr>
        <w:t xml:space="preserve"> de formation</w:t>
      </w:r>
      <w:r w:rsidR="00E12170" w:rsidRPr="002E572D">
        <w:rPr>
          <w:rFonts w:cstheme="minorHAnsi"/>
          <w:bCs/>
        </w:rPr>
        <w:t>s</w:t>
      </w:r>
      <w:r w:rsidRPr="002E572D">
        <w:rPr>
          <w:rFonts w:cstheme="minorHAnsi"/>
          <w:bCs/>
        </w:rPr>
        <w:t xml:space="preserve"> sur </w:t>
      </w:r>
      <w:r w:rsidR="00683BD0" w:rsidRPr="002E572D">
        <w:rPr>
          <w:rFonts w:cstheme="minorHAnsi"/>
          <w:bCs/>
        </w:rPr>
        <w:t>les techniques</w:t>
      </w:r>
      <w:r w:rsidR="00E12170" w:rsidRPr="002E572D">
        <w:rPr>
          <w:rFonts w:cstheme="minorHAnsi"/>
          <w:bCs/>
        </w:rPr>
        <w:t xml:space="preserve"> de </w:t>
      </w:r>
      <w:r w:rsidR="00FC0ED4" w:rsidRPr="002E572D">
        <w:rPr>
          <w:rFonts w:cstheme="minorHAnsi"/>
          <w:bCs/>
        </w:rPr>
        <w:t>suivi et évaluation</w:t>
      </w:r>
    </w:p>
    <w:p w:rsidR="00E12170" w:rsidRPr="002E572D" w:rsidRDefault="00E976F7" w:rsidP="0035245C">
      <w:pPr>
        <w:pStyle w:val="Paragraphedeliste"/>
        <w:numPr>
          <w:ilvl w:val="0"/>
          <w:numId w:val="18"/>
        </w:numPr>
        <w:spacing w:line="360" w:lineRule="auto"/>
        <w:jc w:val="both"/>
        <w:rPr>
          <w:rFonts w:cstheme="minorHAnsi"/>
          <w:bCs/>
        </w:rPr>
      </w:pPr>
      <w:r w:rsidRPr="002E572D">
        <w:rPr>
          <w:rFonts w:cstheme="minorHAnsi"/>
          <w:bCs/>
        </w:rPr>
        <w:t>Rédiger un rapport d’évaluation et de synthèse pour la formation</w:t>
      </w:r>
    </w:p>
    <w:p w:rsidR="00E976F7" w:rsidRPr="002E572D" w:rsidRDefault="00E976F7" w:rsidP="0035245C">
      <w:pPr>
        <w:spacing w:line="360" w:lineRule="auto"/>
        <w:jc w:val="both"/>
        <w:rPr>
          <w:rFonts w:cstheme="minorHAnsi"/>
          <w:b/>
        </w:rPr>
      </w:pPr>
      <w:r w:rsidRPr="002E572D">
        <w:rPr>
          <w:rFonts w:cstheme="minorHAnsi"/>
          <w:b/>
        </w:rPr>
        <w:t>Livrables:</w:t>
      </w:r>
    </w:p>
    <w:p w:rsidR="00E976F7" w:rsidRPr="002E572D" w:rsidRDefault="00E976F7" w:rsidP="0035245C">
      <w:pPr>
        <w:spacing w:line="360" w:lineRule="auto"/>
        <w:jc w:val="both"/>
        <w:rPr>
          <w:rFonts w:cstheme="minorHAnsi"/>
          <w:bCs/>
        </w:rPr>
      </w:pPr>
      <w:r w:rsidRPr="002E572D">
        <w:rPr>
          <w:rFonts w:cstheme="minorHAnsi"/>
          <w:bCs/>
        </w:rPr>
        <w:t>Les supports de formation</w:t>
      </w:r>
    </w:p>
    <w:p w:rsidR="00DC6C2A" w:rsidRPr="002E572D" w:rsidRDefault="00DC6C2A" w:rsidP="0035245C">
      <w:pPr>
        <w:spacing w:line="360" w:lineRule="auto"/>
        <w:jc w:val="both"/>
        <w:rPr>
          <w:rFonts w:cstheme="minorHAnsi"/>
          <w:bCs/>
        </w:rPr>
      </w:pPr>
      <w:r w:rsidRPr="002E572D">
        <w:rPr>
          <w:rFonts w:cstheme="minorHAnsi"/>
          <w:bCs/>
        </w:rPr>
        <w:t>Pré test et post test</w:t>
      </w:r>
    </w:p>
    <w:p w:rsidR="00E976F7" w:rsidRPr="002E572D" w:rsidRDefault="00E976F7" w:rsidP="0035245C">
      <w:pPr>
        <w:spacing w:line="360" w:lineRule="auto"/>
        <w:jc w:val="both"/>
        <w:rPr>
          <w:rFonts w:cstheme="minorHAnsi"/>
          <w:bCs/>
        </w:rPr>
      </w:pPr>
      <w:r w:rsidRPr="002E572D">
        <w:rPr>
          <w:rFonts w:cstheme="minorHAnsi"/>
          <w:bCs/>
        </w:rPr>
        <w:t>Rapport final de formation</w:t>
      </w:r>
    </w:p>
    <w:p w:rsidR="00E976F7" w:rsidRPr="002E572D" w:rsidRDefault="00E976F7" w:rsidP="0035245C">
      <w:pPr>
        <w:spacing w:line="360" w:lineRule="auto"/>
        <w:jc w:val="both"/>
        <w:rPr>
          <w:rFonts w:cstheme="minorHAnsi"/>
          <w:bCs/>
        </w:rPr>
      </w:pPr>
    </w:p>
    <w:p w:rsidR="00AC0B0B" w:rsidRPr="002E572D" w:rsidRDefault="003A2D02" w:rsidP="0035245C">
      <w:pPr>
        <w:spacing w:line="360" w:lineRule="auto"/>
        <w:jc w:val="both"/>
        <w:rPr>
          <w:rFonts w:cstheme="minorHAnsi"/>
          <w:b/>
          <w:sz w:val="24"/>
          <w:szCs w:val="24"/>
        </w:rPr>
      </w:pPr>
      <w:r w:rsidRPr="002E572D">
        <w:rPr>
          <w:rFonts w:cstheme="minorHAnsi"/>
          <w:b/>
          <w:sz w:val="24"/>
          <w:szCs w:val="24"/>
        </w:rPr>
        <w:lastRenderedPageBreak/>
        <w:t>3</w:t>
      </w:r>
      <w:r w:rsidR="00ED7485" w:rsidRPr="002E572D">
        <w:rPr>
          <w:rFonts w:cstheme="minorHAnsi"/>
          <w:b/>
          <w:sz w:val="24"/>
          <w:szCs w:val="24"/>
        </w:rPr>
        <w:t xml:space="preserve">. </w:t>
      </w:r>
      <w:r w:rsidR="00AC0B0B" w:rsidRPr="002E572D">
        <w:rPr>
          <w:rFonts w:cstheme="minorHAnsi"/>
          <w:b/>
          <w:sz w:val="24"/>
          <w:szCs w:val="24"/>
        </w:rPr>
        <w:t xml:space="preserve"> Profil et qualifications requises</w:t>
      </w:r>
    </w:p>
    <w:p w:rsidR="00AC0B0B" w:rsidRPr="002E572D" w:rsidRDefault="000F35F2" w:rsidP="0035245C">
      <w:pPr>
        <w:pStyle w:val="Paragraphedeliste"/>
        <w:numPr>
          <w:ilvl w:val="0"/>
          <w:numId w:val="8"/>
        </w:numPr>
        <w:spacing w:line="360" w:lineRule="auto"/>
        <w:jc w:val="both"/>
        <w:rPr>
          <w:rFonts w:cstheme="minorHAnsi"/>
          <w:bCs/>
        </w:rPr>
      </w:pPr>
      <w:r w:rsidRPr="002E572D">
        <w:rPr>
          <w:rFonts w:cstheme="minorHAnsi"/>
          <w:bCs/>
        </w:rPr>
        <w:t>Diplômé universitaire</w:t>
      </w:r>
      <w:r w:rsidRPr="002E572D">
        <w:rPr>
          <w:rFonts w:cstheme="minorHAnsi"/>
        </w:rPr>
        <w:t xml:space="preserve"> (minimum 3ans) en droit, relations internationales, sciences politiques, solidarité internationale, journalisme, sciences sociales et/ ou santé publique ;  </w:t>
      </w:r>
    </w:p>
    <w:p w:rsidR="00AC0B0B" w:rsidRPr="002E572D" w:rsidRDefault="00AC0B0B" w:rsidP="0035245C">
      <w:pPr>
        <w:pStyle w:val="Paragraphedeliste"/>
        <w:numPr>
          <w:ilvl w:val="0"/>
          <w:numId w:val="8"/>
        </w:numPr>
        <w:spacing w:line="360" w:lineRule="auto"/>
        <w:jc w:val="both"/>
        <w:rPr>
          <w:rFonts w:cstheme="minorHAnsi"/>
          <w:bCs/>
        </w:rPr>
      </w:pPr>
      <w:r w:rsidRPr="002E572D">
        <w:rPr>
          <w:rFonts w:cstheme="minorHAnsi"/>
          <w:bCs/>
        </w:rPr>
        <w:t>Connaissances relatives au VIH/sida et aux populations clés</w:t>
      </w:r>
      <w:r w:rsidR="00ED7485" w:rsidRPr="002E572D">
        <w:rPr>
          <w:rFonts w:cstheme="minorHAnsi"/>
          <w:bCs/>
        </w:rPr>
        <w:t>&amp; vulnérables</w:t>
      </w:r>
      <w:r w:rsidRPr="002E572D">
        <w:rPr>
          <w:rFonts w:cstheme="minorHAnsi"/>
          <w:bCs/>
        </w:rPr>
        <w:t>.</w:t>
      </w:r>
    </w:p>
    <w:p w:rsidR="00AC0B0B" w:rsidRPr="002E572D" w:rsidRDefault="00AC0B0B" w:rsidP="0035245C">
      <w:pPr>
        <w:pStyle w:val="Paragraphedeliste"/>
        <w:numPr>
          <w:ilvl w:val="0"/>
          <w:numId w:val="8"/>
        </w:numPr>
        <w:spacing w:line="360" w:lineRule="auto"/>
        <w:jc w:val="both"/>
        <w:rPr>
          <w:rFonts w:cstheme="minorHAnsi"/>
          <w:bCs/>
        </w:rPr>
      </w:pPr>
      <w:r w:rsidRPr="002E572D">
        <w:rPr>
          <w:rFonts w:cstheme="minorHAnsi"/>
          <w:bCs/>
        </w:rPr>
        <w:t xml:space="preserve">Expériences associatives </w:t>
      </w:r>
      <w:r w:rsidR="00ED7485" w:rsidRPr="002E572D">
        <w:rPr>
          <w:rFonts w:cstheme="minorHAnsi"/>
          <w:bCs/>
        </w:rPr>
        <w:t>avérée.</w:t>
      </w:r>
    </w:p>
    <w:p w:rsidR="00E12170" w:rsidRPr="002E572D" w:rsidRDefault="00E9330B" w:rsidP="0035245C">
      <w:pPr>
        <w:pStyle w:val="Paragraphedeliste"/>
        <w:numPr>
          <w:ilvl w:val="0"/>
          <w:numId w:val="8"/>
        </w:numPr>
        <w:spacing w:line="360" w:lineRule="auto"/>
        <w:jc w:val="both"/>
        <w:rPr>
          <w:rFonts w:eastAsia="Batang" w:cstheme="minorHAnsi"/>
          <w:bCs/>
        </w:rPr>
      </w:pPr>
      <w:r w:rsidRPr="002E572D">
        <w:rPr>
          <w:rFonts w:cstheme="minorHAnsi"/>
        </w:rPr>
        <w:t>Maîtrise du français et de l’arabe essentielle, l’anglais serait un atout</w:t>
      </w:r>
      <w:r w:rsidR="00AC0B0B" w:rsidRPr="002E572D">
        <w:rPr>
          <w:rFonts w:cstheme="minorHAnsi"/>
          <w:bCs/>
        </w:rPr>
        <w:t>.</w:t>
      </w:r>
    </w:p>
    <w:p w:rsidR="00E12170" w:rsidRPr="002E572D" w:rsidRDefault="00E12170" w:rsidP="0035245C">
      <w:pPr>
        <w:pStyle w:val="Paragraphedeliste"/>
        <w:numPr>
          <w:ilvl w:val="0"/>
          <w:numId w:val="8"/>
        </w:numPr>
        <w:spacing w:line="360" w:lineRule="auto"/>
        <w:jc w:val="both"/>
        <w:rPr>
          <w:rFonts w:eastAsia="Batang" w:cstheme="minorHAnsi"/>
          <w:bCs/>
        </w:rPr>
      </w:pPr>
      <w:r w:rsidRPr="002E572D">
        <w:rPr>
          <w:rFonts w:eastAsia="Batang" w:cstheme="minorHAnsi"/>
          <w:bCs/>
        </w:rPr>
        <w:t>Capacité à parler en Arabe Tunisien pour divulguer les informations nécessaires avec aisance</w:t>
      </w:r>
    </w:p>
    <w:p w:rsidR="008C4C8A" w:rsidRPr="002E572D" w:rsidRDefault="00E12170" w:rsidP="0035245C">
      <w:pPr>
        <w:pStyle w:val="Paragraphedeliste"/>
        <w:numPr>
          <w:ilvl w:val="0"/>
          <w:numId w:val="8"/>
        </w:numPr>
        <w:spacing w:line="360" w:lineRule="auto"/>
        <w:jc w:val="both"/>
        <w:rPr>
          <w:rFonts w:eastAsia="Batang" w:cstheme="minorHAnsi"/>
          <w:bCs/>
        </w:rPr>
      </w:pPr>
      <w:r w:rsidRPr="002E572D">
        <w:rPr>
          <w:rFonts w:cstheme="minorHAnsi"/>
          <w:bCs/>
        </w:rPr>
        <w:t xml:space="preserve">Avoir </w:t>
      </w:r>
      <w:r w:rsidR="00FC0ED4" w:rsidRPr="002E572D">
        <w:rPr>
          <w:rFonts w:cstheme="minorHAnsi"/>
          <w:bCs/>
        </w:rPr>
        <w:t>délivré</w:t>
      </w:r>
      <w:r w:rsidRPr="002E572D">
        <w:rPr>
          <w:rFonts w:cstheme="minorHAnsi"/>
          <w:bCs/>
        </w:rPr>
        <w:t xml:space="preserve"> un minimum de 2 formations à l’échelle internationale</w:t>
      </w:r>
    </w:p>
    <w:p w:rsidR="00E12170" w:rsidRPr="002E572D" w:rsidRDefault="00E12170" w:rsidP="0035245C">
      <w:pPr>
        <w:spacing w:line="360" w:lineRule="auto"/>
        <w:jc w:val="both"/>
        <w:rPr>
          <w:rFonts w:eastAsia="Batang" w:cstheme="minorHAnsi"/>
          <w:bCs/>
        </w:rPr>
      </w:pPr>
    </w:p>
    <w:p w:rsidR="0007502B" w:rsidRPr="002E572D" w:rsidRDefault="003A2D02" w:rsidP="0035245C">
      <w:pPr>
        <w:spacing w:line="360" w:lineRule="auto"/>
        <w:jc w:val="both"/>
        <w:rPr>
          <w:rFonts w:eastAsia="Batang" w:cstheme="minorHAnsi"/>
          <w:bCs/>
        </w:rPr>
      </w:pPr>
      <w:r w:rsidRPr="002E572D">
        <w:rPr>
          <w:rFonts w:cstheme="minorHAnsi"/>
          <w:b/>
        </w:rPr>
        <w:t>4</w:t>
      </w:r>
      <w:r w:rsidR="0007502B" w:rsidRPr="002E572D">
        <w:rPr>
          <w:rFonts w:cstheme="minorHAnsi"/>
          <w:b/>
        </w:rPr>
        <w:t>.  Compétence &amp; Valeurs</w:t>
      </w:r>
    </w:p>
    <w:p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Respect des Droits Humains.</w:t>
      </w:r>
    </w:p>
    <w:p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Excellentes capacités rédactionnelles en français, et une connaissance en rédaction des rapports.</w:t>
      </w:r>
    </w:p>
    <w:p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Avoir un esprit d’analyse et de synthèse ;</w:t>
      </w:r>
    </w:p>
    <w:p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Etre un bon communicateur et avoir une bonne capacité d’écoute ;</w:t>
      </w:r>
    </w:p>
    <w:p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Etre organisé, méthodique et rigoureux ;</w:t>
      </w:r>
    </w:p>
    <w:p w:rsidR="00E9330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Très bonnes capacités à modérer les réunions de travail multi-acteurs.</w:t>
      </w:r>
    </w:p>
    <w:p w:rsidR="0007502B" w:rsidRPr="002E572D" w:rsidRDefault="0007502B" w:rsidP="0035245C">
      <w:pPr>
        <w:spacing w:after="0"/>
        <w:jc w:val="both"/>
        <w:rPr>
          <w:rFonts w:cstheme="minorHAnsi"/>
          <w:sz w:val="24"/>
          <w:szCs w:val="24"/>
        </w:rPr>
      </w:pPr>
    </w:p>
    <w:p w:rsidR="000F35F2" w:rsidRPr="002E572D" w:rsidRDefault="000F35F2" w:rsidP="0035245C">
      <w:pPr>
        <w:jc w:val="both"/>
        <w:rPr>
          <w:rFonts w:cstheme="minorHAnsi"/>
          <w:b/>
          <w:bCs/>
          <w:sz w:val="24"/>
          <w:szCs w:val="24"/>
        </w:rPr>
      </w:pPr>
      <w:r w:rsidRPr="002E572D">
        <w:rPr>
          <w:rFonts w:cstheme="minorHAnsi"/>
          <w:b/>
          <w:bCs/>
          <w:sz w:val="24"/>
          <w:szCs w:val="24"/>
        </w:rPr>
        <w:t xml:space="preserve">5. </w:t>
      </w:r>
      <w:r w:rsidR="00E12170" w:rsidRPr="002E572D">
        <w:rPr>
          <w:rFonts w:cstheme="minorHAnsi"/>
          <w:b/>
          <w:bCs/>
          <w:sz w:val="24"/>
          <w:szCs w:val="24"/>
        </w:rPr>
        <w:t>Conditions de travail et durée :</w:t>
      </w:r>
    </w:p>
    <w:p w:rsidR="00E12170" w:rsidRPr="002E572D" w:rsidRDefault="00E12170" w:rsidP="0035245C">
      <w:pPr>
        <w:spacing w:after="22" w:line="360" w:lineRule="auto"/>
        <w:jc w:val="both"/>
        <w:rPr>
          <w:rFonts w:cstheme="minorHAnsi"/>
          <w:bCs/>
          <w:sz w:val="24"/>
          <w:szCs w:val="24"/>
        </w:rPr>
      </w:pPr>
      <w:r w:rsidRPr="002E572D">
        <w:rPr>
          <w:rFonts w:cstheme="minorHAnsi"/>
          <w:bCs/>
          <w:sz w:val="24"/>
          <w:szCs w:val="24"/>
        </w:rPr>
        <w:t xml:space="preserve">Lieu : Tunis, Tunisie </w:t>
      </w:r>
    </w:p>
    <w:p w:rsidR="000F35F2" w:rsidRPr="002E572D" w:rsidRDefault="00E12170" w:rsidP="0035245C">
      <w:pPr>
        <w:spacing w:after="22" w:line="360" w:lineRule="auto"/>
        <w:jc w:val="both"/>
        <w:rPr>
          <w:rFonts w:cstheme="minorHAnsi"/>
          <w:bCs/>
          <w:sz w:val="24"/>
          <w:szCs w:val="24"/>
        </w:rPr>
      </w:pPr>
      <w:r w:rsidRPr="002E572D">
        <w:rPr>
          <w:rFonts w:cstheme="minorHAnsi"/>
          <w:bCs/>
          <w:sz w:val="24"/>
          <w:szCs w:val="24"/>
        </w:rPr>
        <w:t>Période</w:t>
      </w:r>
      <w:r w:rsidR="00C84518" w:rsidRPr="002E572D">
        <w:rPr>
          <w:rFonts w:cstheme="minorHAnsi"/>
          <w:bCs/>
          <w:sz w:val="24"/>
          <w:szCs w:val="24"/>
        </w:rPr>
        <w:t xml:space="preserve"> : </w:t>
      </w:r>
      <w:r w:rsidRPr="002E572D">
        <w:rPr>
          <w:rFonts w:cstheme="minorHAnsi"/>
          <w:bCs/>
          <w:sz w:val="24"/>
          <w:szCs w:val="24"/>
        </w:rPr>
        <w:t>octobre</w:t>
      </w:r>
      <w:r w:rsidR="00E437B4" w:rsidRPr="002E572D">
        <w:rPr>
          <w:rFonts w:cstheme="minorHAnsi"/>
          <w:bCs/>
          <w:sz w:val="24"/>
          <w:szCs w:val="24"/>
        </w:rPr>
        <w:t xml:space="preserve">/ Novembre </w:t>
      </w:r>
      <w:r w:rsidRPr="002E572D">
        <w:rPr>
          <w:rFonts w:cstheme="minorHAnsi"/>
          <w:bCs/>
          <w:sz w:val="24"/>
          <w:szCs w:val="24"/>
        </w:rPr>
        <w:t xml:space="preserve"> 2021</w:t>
      </w:r>
    </w:p>
    <w:p w:rsidR="000F35F2" w:rsidRPr="002E572D" w:rsidRDefault="000F35F2" w:rsidP="0035245C">
      <w:pPr>
        <w:pStyle w:val="Default"/>
        <w:spacing w:before="240" w:after="240"/>
        <w:ind w:right="-284"/>
        <w:jc w:val="both"/>
        <w:rPr>
          <w:rFonts w:asciiTheme="minorHAnsi" w:hAnsiTheme="minorHAnsi" w:cstheme="minorHAnsi"/>
          <w:b/>
          <w:bCs/>
          <w:color w:val="auto"/>
        </w:rPr>
      </w:pPr>
      <w:r w:rsidRPr="002E572D">
        <w:rPr>
          <w:rFonts w:asciiTheme="minorHAnsi" w:hAnsiTheme="minorHAnsi" w:cstheme="minorHAnsi"/>
          <w:b/>
          <w:bCs/>
          <w:color w:val="auto"/>
        </w:rPr>
        <w:t xml:space="preserve">6. Modalité de candidature </w:t>
      </w:r>
    </w:p>
    <w:p w:rsidR="000F35F2" w:rsidRPr="002E572D" w:rsidRDefault="000F35F2" w:rsidP="00FC0ED4">
      <w:pPr>
        <w:spacing w:line="360" w:lineRule="auto"/>
        <w:jc w:val="both"/>
        <w:rPr>
          <w:rFonts w:cstheme="minorHAnsi"/>
          <w:bCs/>
        </w:rPr>
      </w:pPr>
      <w:r w:rsidRPr="002E572D">
        <w:rPr>
          <w:rFonts w:cstheme="minorHAnsi"/>
          <w:bCs/>
        </w:rPr>
        <w:t>Le/la candidat.e</w:t>
      </w:r>
      <w:r w:rsidR="00FC0ED4" w:rsidRPr="002E572D">
        <w:rPr>
          <w:rFonts w:cstheme="minorHAnsi"/>
          <w:bCs/>
        </w:rPr>
        <w:t xml:space="preserve"> </w:t>
      </w:r>
      <w:r w:rsidRPr="002E572D">
        <w:rPr>
          <w:rFonts w:cstheme="minorHAnsi"/>
          <w:bCs/>
        </w:rPr>
        <w:t>devra envoyer sa candidature</w:t>
      </w:r>
      <w:r w:rsidR="00FC0ED4" w:rsidRPr="002E572D">
        <w:rPr>
          <w:rFonts w:cstheme="minorHAnsi"/>
          <w:bCs/>
        </w:rPr>
        <w:t xml:space="preserve"> (CV, offre technique et financière </w:t>
      </w:r>
      <w:r w:rsidRPr="002E572D">
        <w:rPr>
          <w:rFonts w:cstheme="minorHAnsi"/>
          <w:bCs/>
        </w:rPr>
        <w:t xml:space="preserve">) au plus tard le </w:t>
      </w:r>
      <w:r w:rsidR="00C84518" w:rsidRPr="002E572D">
        <w:rPr>
          <w:rFonts w:cstheme="minorHAnsi"/>
          <w:bCs/>
        </w:rPr>
        <w:t>Lundi</w:t>
      </w:r>
      <w:r w:rsidR="001B1C64" w:rsidRPr="002E572D">
        <w:rPr>
          <w:rFonts w:cstheme="minorHAnsi"/>
          <w:bCs/>
        </w:rPr>
        <w:t xml:space="preserve"> 25 Octobre </w:t>
      </w:r>
      <w:r w:rsidRPr="002E572D">
        <w:rPr>
          <w:rFonts w:cstheme="minorHAnsi"/>
          <w:bCs/>
        </w:rPr>
        <w:t xml:space="preserve"> à </w:t>
      </w:r>
      <w:r w:rsidR="00056C05" w:rsidRPr="002E572D">
        <w:rPr>
          <w:rFonts w:cstheme="minorHAnsi"/>
          <w:bCs/>
        </w:rPr>
        <w:t>17h</w:t>
      </w:r>
      <w:r w:rsidRPr="002E572D">
        <w:rPr>
          <w:rFonts w:cstheme="minorHAnsi"/>
          <w:bCs/>
        </w:rPr>
        <w:t xml:space="preserve">à l’adresse suivante : </w:t>
      </w:r>
      <w:hyperlink r:id="rId8" w:history="1">
        <w:r w:rsidRPr="002E572D">
          <w:rPr>
            <w:rStyle w:val="Lienhypertexte"/>
            <w:rFonts w:cstheme="minorHAnsi"/>
            <w:bCs/>
          </w:rPr>
          <w:t>atlsidatunis@gmail.com</w:t>
        </w:r>
      </w:hyperlink>
      <w:r w:rsidRPr="002E572D">
        <w:rPr>
          <w:rFonts w:cstheme="minorHAnsi"/>
          <w:bCs/>
        </w:rPr>
        <w:t>.</w:t>
      </w:r>
      <w:bookmarkStart w:id="0" w:name="_Hlk34661621"/>
    </w:p>
    <w:p w:rsidR="000F35F2" w:rsidRPr="002E572D" w:rsidRDefault="000F35F2" w:rsidP="0035245C">
      <w:pPr>
        <w:spacing w:line="360" w:lineRule="auto"/>
        <w:jc w:val="both"/>
        <w:rPr>
          <w:rFonts w:cstheme="minorHAnsi"/>
          <w:bCs/>
        </w:rPr>
      </w:pPr>
      <w:r w:rsidRPr="002E572D">
        <w:rPr>
          <w:rFonts w:cstheme="minorHAnsi"/>
          <w:sz w:val="24"/>
        </w:rPr>
        <w:t xml:space="preserve">Tout dossier incomplet ou reçu en dehors des délais établis ne sera pas examiné.  </w:t>
      </w:r>
    </w:p>
    <w:p w:rsidR="00E9330B" w:rsidRPr="00E12170" w:rsidRDefault="000F35F2" w:rsidP="002E572D">
      <w:pPr>
        <w:spacing w:after="0" w:line="360" w:lineRule="auto"/>
        <w:jc w:val="both"/>
      </w:pPr>
      <w:r w:rsidRPr="002E572D">
        <w:rPr>
          <w:rFonts w:cstheme="minorHAnsi"/>
          <w:sz w:val="24"/>
        </w:rPr>
        <w:t xml:space="preserve">Seules les </w:t>
      </w:r>
      <w:r w:rsidR="00FC0ED4" w:rsidRPr="002E572D">
        <w:rPr>
          <w:rFonts w:cstheme="minorHAnsi"/>
          <w:sz w:val="24"/>
        </w:rPr>
        <w:t>candidatures</w:t>
      </w:r>
      <w:r w:rsidRPr="002E572D">
        <w:rPr>
          <w:rFonts w:cstheme="minorHAnsi"/>
          <w:sz w:val="24"/>
        </w:rPr>
        <w:t xml:space="preserve"> retenues seront contacté</w:t>
      </w:r>
      <w:r w:rsidR="00FC0ED4" w:rsidRPr="002E572D">
        <w:rPr>
          <w:rFonts w:cstheme="minorHAnsi"/>
          <w:sz w:val="24"/>
        </w:rPr>
        <w:t>e</w:t>
      </w:r>
      <w:bookmarkEnd w:id="0"/>
      <w:r w:rsidR="002E572D">
        <w:rPr>
          <w:rFonts w:cstheme="minorHAnsi"/>
          <w:sz w:val="24"/>
        </w:rPr>
        <w:t>.</w:t>
      </w:r>
    </w:p>
    <w:sectPr w:rsidR="00E9330B" w:rsidRPr="00E12170" w:rsidSect="004D26B1">
      <w:headerReference w:type="default" r:id="rId9"/>
      <w:footerReference w:type="default" r:id="rId10"/>
      <w:pgSz w:w="11906" w:h="16838"/>
      <w:pgMar w:top="1417" w:right="1417" w:bottom="1417" w:left="1417"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18B" w:rsidRDefault="00BA318B" w:rsidP="009619CF">
      <w:pPr>
        <w:spacing w:after="0" w:line="240" w:lineRule="auto"/>
      </w:pPr>
      <w:r>
        <w:separator/>
      </w:r>
    </w:p>
  </w:endnote>
  <w:endnote w:type="continuationSeparator" w:id="1">
    <w:p w:rsidR="00BA318B" w:rsidRDefault="00BA318B" w:rsidP="0096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089354"/>
      <w:docPartObj>
        <w:docPartGallery w:val="Page Numbers (Bottom of Page)"/>
        <w:docPartUnique/>
      </w:docPartObj>
    </w:sdtPr>
    <w:sdtContent>
      <w:p w:rsidR="00D52D20" w:rsidRDefault="00E6623D">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D52D20" w:rsidRDefault="00E6623D">
                    <w:pPr>
                      <w:jc w:val="center"/>
                    </w:pPr>
                    <w:r w:rsidRPr="00E6623D">
                      <w:fldChar w:fldCharType="begin"/>
                    </w:r>
                    <w:r w:rsidR="00D52D20">
                      <w:instrText>PAGE    \* MERGEFORMAT</w:instrText>
                    </w:r>
                    <w:r w:rsidRPr="00E6623D">
                      <w:fldChar w:fldCharType="separate"/>
                    </w:r>
                    <w:r w:rsidR="002E572D" w:rsidRPr="002E572D">
                      <w:rPr>
                        <w:noProof/>
                        <w:sz w:val="16"/>
                        <w:szCs w:val="16"/>
                      </w:rPr>
                      <w:t>4</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18B" w:rsidRDefault="00BA318B" w:rsidP="009619CF">
      <w:pPr>
        <w:spacing w:after="0" w:line="240" w:lineRule="auto"/>
      </w:pPr>
      <w:r>
        <w:separator/>
      </w:r>
    </w:p>
  </w:footnote>
  <w:footnote w:type="continuationSeparator" w:id="1">
    <w:p w:rsidR="00BA318B" w:rsidRDefault="00BA318B" w:rsidP="0096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BA" w:rsidRDefault="00026BBA">
    <w:pPr>
      <w:pStyle w:val="En-tte"/>
    </w:pPr>
    <w:r>
      <w:rPr>
        <w:noProof/>
        <w:lang w:eastAsia="fr-FR"/>
      </w:rPr>
      <w:drawing>
        <wp:anchor distT="0" distB="0" distL="114300" distR="114300" simplePos="0" relativeHeight="251660288" behindDoc="0" locked="0" layoutInCell="1" allowOverlap="1">
          <wp:simplePos x="0" y="0"/>
          <wp:positionH relativeFrom="margin">
            <wp:posOffset>-361950</wp:posOffset>
          </wp:positionH>
          <wp:positionV relativeFrom="paragraph">
            <wp:posOffset>-552450</wp:posOffset>
          </wp:positionV>
          <wp:extent cx="1228725" cy="723900"/>
          <wp:effectExtent l="0" t="0" r="9525" b="0"/>
          <wp:wrapNone/>
          <wp:docPr id="3" name="Image 3" descr="Logo atl-mst-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tl-mst-sid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391"/>
    <w:multiLevelType w:val="hybridMultilevel"/>
    <w:tmpl w:val="1D14F78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75799"/>
    <w:multiLevelType w:val="hybridMultilevel"/>
    <w:tmpl w:val="B3B26A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848747E"/>
    <w:multiLevelType w:val="hybridMultilevel"/>
    <w:tmpl w:val="B8CCEAD2"/>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
    <w:nsid w:val="08A43257"/>
    <w:multiLevelType w:val="hybridMultilevel"/>
    <w:tmpl w:val="063A1F48"/>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720D11"/>
    <w:multiLevelType w:val="hybridMultilevel"/>
    <w:tmpl w:val="E57C54D2"/>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F8296A"/>
    <w:multiLevelType w:val="hybridMultilevel"/>
    <w:tmpl w:val="1D802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7958FF"/>
    <w:multiLevelType w:val="hybridMultilevel"/>
    <w:tmpl w:val="1D48C8A6"/>
    <w:lvl w:ilvl="0" w:tplc="3E5CA9B6">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8B73DE"/>
    <w:multiLevelType w:val="hybridMultilevel"/>
    <w:tmpl w:val="DECC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5FA44C6"/>
    <w:multiLevelType w:val="hybridMultilevel"/>
    <w:tmpl w:val="2774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36459F"/>
    <w:multiLevelType w:val="hybridMultilevel"/>
    <w:tmpl w:val="59161B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0A912B9"/>
    <w:multiLevelType w:val="hybridMultilevel"/>
    <w:tmpl w:val="DF4040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C9720CE"/>
    <w:multiLevelType w:val="hybridMultilevel"/>
    <w:tmpl w:val="15DCF4C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4E2F83"/>
    <w:multiLevelType w:val="hybridMultilevel"/>
    <w:tmpl w:val="7890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751248"/>
    <w:multiLevelType w:val="hybridMultilevel"/>
    <w:tmpl w:val="F580B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425DEA"/>
    <w:multiLevelType w:val="hybridMultilevel"/>
    <w:tmpl w:val="330EF0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nsid w:val="73EF67F3"/>
    <w:multiLevelType w:val="hybridMultilevel"/>
    <w:tmpl w:val="45A40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84C4C02"/>
    <w:multiLevelType w:val="multilevel"/>
    <w:tmpl w:val="63A8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70735"/>
    <w:multiLevelType w:val="hybridMultilevel"/>
    <w:tmpl w:val="28FC9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5"/>
  </w:num>
  <w:num w:numId="4">
    <w:abstractNumId w:val="6"/>
  </w:num>
  <w:num w:numId="5">
    <w:abstractNumId w:val="5"/>
  </w:num>
  <w:num w:numId="6">
    <w:abstractNumId w:val="7"/>
  </w:num>
  <w:num w:numId="7">
    <w:abstractNumId w:val="3"/>
  </w:num>
  <w:num w:numId="8">
    <w:abstractNumId w:val="9"/>
  </w:num>
  <w:num w:numId="9">
    <w:abstractNumId w:val="11"/>
  </w:num>
  <w:num w:numId="10">
    <w:abstractNumId w:val="4"/>
  </w:num>
  <w:num w:numId="11">
    <w:abstractNumId w:val="0"/>
  </w:num>
  <w:num w:numId="12">
    <w:abstractNumId w:val="10"/>
  </w:num>
  <w:num w:numId="13">
    <w:abstractNumId w:val="16"/>
  </w:num>
  <w:num w:numId="14">
    <w:abstractNumId w:val="12"/>
  </w:num>
  <w:num w:numId="15">
    <w:abstractNumId w:val="2"/>
  </w:num>
  <w:num w:numId="16">
    <w:abstractNumId w:val="13"/>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9619CF"/>
    <w:rsid w:val="00014CA8"/>
    <w:rsid w:val="00021560"/>
    <w:rsid w:val="00026BBA"/>
    <w:rsid w:val="00050DA0"/>
    <w:rsid w:val="00056C05"/>
    <w:rsid w:val="0007502B"/>
    <w:rsid w:val="000877CD"/>
    <w:rsid w:val="00091205"/>
    <w:rsid w:val="000F35F2"/>
    <w:rsid w:val="001643BE"/>
    <w:rsid w:val="001752AA"/>
    <w:rsid w:val="001B1C64"/>
    <w:rsid w:val="001B59E2"/>
    <w:rsid w:val="00233A36"/>
    <w:rsid w:val="002A5BD9"/>
    <w:rsid w:val="002B4F3E"/>
    <w:rsid w:val="002B7EDA"/>
    <w:rsid w:val="002C36B5"/>
    <w:rsid w:val="002C3807"/>
    <w:rsid w:val="002D75FC"/>
    <w:rsid w:val="002E572D"/>
    <w:rsid w:val="0030713A"/>
    <w:rsid w:val="003266BC"/>
    <w:rsid w:val="00336B68"/>
    <w:rsid w:val="0035245C"/>
    <w:rsid w:val="003A2D02"/>
    <w:rsid w:val="003A7726"/>
    <w:rsid w:val="003B149B"/>
    <w:rsid w:val="003D5C44"/>
    <w:rsid w:val="0041130D"/>
    <w:rsid w:val="00487638"/>
    <w:rsid w:val="004A1D17"/>
    <w:rsid w:val="004A35DB"/>
    <w:rsid w:val="004A53DE"/>
    <w:rsid w:val="004D26B1"/>
    <w:rsid w:val="004D74DB"/>
    <w:rsid w:val="005760DF"/>
    <w:rsid w:val="005B6EA7"/>
    <w:rsid w:val="005D32D0"/>
    <w:rsid w:val="00607746"/>
    <w:rsid w:val="00613C2B"/>
    <w:rsid w:val="00683BD0"/>
    <w:rsid w:val="006C62AA"/>
    <w:rsid w:val="00743473"/>
    <w:rsid w:val="007C7023"/>
    <w:rsid w:val="007F19C4"/>
    <w:rsid w:val="00876FAB"/>
    <w:rsid w:val="008C4C8A"/>
    <w:rsid w:val="008D22C0"/>
    <w:rsid w:val="009069A2"/>
    <w:rsid w:val="009125A5"/>
    <w:rsid w:val="0091386F"/>
    <w:rsid w:val="0092370D"/>
    <w:rsid w:val="009619CF"/>
    <w:rsid w:val="009846E0"/>
    <w:rsid w:val="009A4026"/>
    <w:rsid w:val="009E3843"/>
    <w:rsid w:val="00A21D9E"/>
    <w:rsid w:val="00A965BC"/>
    <w:rsid w:val="00AA25E2"/>
    <w:rsid w:val="00AC0B0B"/>
    <w:rsid w:val="00B817A7"/>
    <w:rsid w:val="00BA318B"/>
    <w:rsid w:val="00BC27ED"/>
    <w:rsid w:val="00BC53FD"/>
    <w:rsid w:val="00BE0BA6"/>
    <w:rsid w:val="00BE26B5"/>
    <w:rsid w:val="00C52CA5"/>
    <w:rsid w:val="00C62D77"/>
    <w:rsid w:val="00C84518"/>
    <w:rsid w:val="00CB4885"/>
    <w:rsid w:val="00D03290"/>
    <w:rsid w:val="00D0346C"/>
    <w:rsid w:val="00D52D20"/>
    <w:rsid w:val="00D6605A"/>
    <w:rsid w:val="00DA115B"/>
    <w:rsid w:val="00DB33A7"/>
    <w:rsid w:val="00DB5CEE"/>
    <w:rsid w:val="00DC6C2A"/>
    <w:rsid w:val="00DE64D6"/>
    <w:rsid w:val="00E12170"/>
    <w:rsid w:val="00E31EBE"/>
    <w:rsid w:val="00E437B4"/>
    <w:rsid w:val="00E444E5"/>
    <w:rsid w:val="00E52CC0"/>
    <w:rsid w:val="00E6623D"/>
    <w:rsid w:val="00E74C78"/>
    <w:rsid w:val="00E80A0A"/>
    <w:rsid w:val="00E9330B"/>
    <w:rsid w:val="00E976F7"/>
    <w:rsid w:val="00EB3288"/>
    <w:rsid w:val="00ED19EA"/>
    <w:rsid w:val="00ED7485"/>
    <w:rsid w:val="00F12606"/>
    <w:rsid w:val="00F306D9"/>
    <w:rsid w:val="00F9752A"/>
    <w:rsid w:val="00FB62A8"/>
    <w:rsid w:val="00FC0E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9619CF"/>
    <w:pPr>
      <w:spacing w:after="0" w:line="240" w:lineRule="auto"/>
      <w:ind w:left="720"/>
      <w:contextualSpacing/>
    </w:pPr>
    <w:rPr>
      <w:rFonts w:eastAsiaTheme="minorEastAsia"/>
      <w:sz w:val="24"/>
      <w:szCs w:val="24"/>
      <w:lang w:eastAsia="fr-FR"/>
    </w:rPr>
  </w:style>
  <w:style w:type="paragraph" w:styleId="Notedebasdepage">
    <w:name w:val="footnote text"/>
    <w:basedOn w:val="Normal"/>
    <w:link w:val="NotedebasdepageCar"/>
    <w:uiPriority w:val="99"/>
    <w:semiHidden/>
    <w:unhideWhenUsed/>
    <w:rsid w:val="009619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9CF"/>
    <w:rPr>
      <w:sz w:val="20"/>
      <w:szCs w:val="20"/>
    </w:rPr>
  </w:style>
  <w:style w:type="character" w:styleId="Appelnotedebasdep">
    <w:name w:val="footnote reference"/>
    <w:basedOn w:val="Policepardfaut"/>
    <w:uiPriority w:val="99"/>
    <w:semiHidden/>
    <w:unhideWhenUsed/>
    <w:rsid w:val="009619CF"/>
    <w:rPr>
      <w:vertAlign w:val="superscript"/>
    </w:rPr>
  </w:style>
  <w:style w:type="character" w:customStyle="1" w:styleId="ParagraphedelisteCar">
    <w:name w:val="Paragraphe de liste Car"/>
    <w:aliases w:val="References Car"/>
    <w:link w:val="Paragraphedeliste"/>
    <w:uiPriority w:val="34"/>
    <w:locked/>
    <w:rsid w:val="009619CF"/>
    <w:rPr>
      <w:rFonts w:eastAsiaTheme="minorEastAsia"/>
      <w:sz w:val="24"/>
      <w:szCs w:val="24"/>
      <w:lang w:eastAsia="fr-FR"/>
    </w:rPr>
  </w:style>
  <w:style w:type="character" w:styleId="Lienhypertexte">
    <w:name w:val="Hyperlink"/>
    <w:basedOn w:val="Policepardfaut"/>
    <w:uiPriority w:val="99"/>
    <w:unhideWhenUsed/>
    <w:rsid w:val="009619CF"/>
    <w:rPr>
      <w:color w:val="0563C1" w:themeColor="hyperlink"/>
      <w:u w:val="single"/>
    </w:rPr>
  </w:style>
  <w:style w:type="paragraph" w:styleId="En-tte">
    <w:name w:val="header"/>
    <w:basedOn w:val="Normal"/>
    <w:link w:val="En-tteCar"/>
    <w:uiPriority w:val="99"/>
    <w:unhideWhenUsed/>
    <w:rsid w:val="00D52D20"/>
    <w:pPr>
      <w:tabs>
        <w:tab w:val="center" w:pos="4536"/>
        <w:tab w:val="right" w:pos="9072"/>
      </w:tabs>
      <w:spacing w:after="0" w:line="240" w:lineRule="auto"/>
    </w:pPr>
  </w:style>
  <w:style w:type="character" w:customStyle="1" w:styleId="En-tteCar">
    <w:name w:val="En-tête Car"/>
    <w:basedOn w:val="Policepardfaut"/>
    <w:link w:val="En-tte"/>
    <w:uiPriority w:val="99"/>
    <w:rsid w:val="00D52D20"/>
  </w:style>
  <w:style w:type="paragraph" w:styleId="Pieddepage">
    <w:name w:val="footer"/>
    <w:basedOn w:val="Normal"/>
    <w:link w:val="PieddepageCar"/>
    <w:uiPriority w:val="99"/>
    <w:unhideWhenUsed/>
    <w:rsid w:val="00D52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D20"/>
  </w:style>
  <w:style w:type="paragraph" w:customStyle="1" w:styleId="Default">
    <w:name w:val="Default"/>
    <w:rsid w:val="008D22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8486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4B1E-1041-43B5-A0A6-35F1A1C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789</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ONFP</cp:lastModifiedBy>
  <cp:revision>13</cp:revision>
  <dcterms:created xsi:type="dcterms:W3CDTF">2021-10-21T09:30:00Z</dcterms:created>
  <dcterms:modified xsi:type="dcterms:W3CDTF">2021-10-21T09:50:00Z</dcterms:modified>
</cp:coreProperties>
</file>