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39A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bookmarkStart w:id="0" w:name="_GoBack"/>
      <w:bookmarkEnd w:id="0"/>
    </w:p>
    <w:p w:rsidR="0075739A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75739A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75739A" w:rsidRPr="006A3DDB" w:rsidRDefault="00EC445E" w:rsidP="002B5164">
      <w:pPr>
        <w:shd w:val="clear" w:color="auto" w:fill="FFFFFF"/>
        <w:spacing w:after="0" w:line="352" w:lineRule="atLeast"/>
        <w:jc w:val="center"/>
        <w:textAlignment w:val="baseline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6A3DDB">
        <w:rPr>
          <w:rFonts w:eastAsia="Times New Roman" w:cs="Times New Roman"/>
          <w:b/>
          <w:bCs/>
          <w:color w:val="000000"/>
          <w:sz w:val="32"/>
          <w:szCs w:val="32"/>
        </w:rPr>
        <w:t>Recrutement de consultant</w:t>
      </w:r>
    </w:p>
    <w:p w:rsidR="0075739A" w:rsidRPr="001A0117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5739A" w:rsidRPr="001A0117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1A0117">
        <w:rPr>
          <w:rFonts w:eastAsia="Times New Roman" w:cs="Times New Roman"/>
          <w:b/>
          <w:bCs/>
          <w:color w:val="000000"/>
          <w:sz w:val="32"/>
          <w:szCs w:val="32"/>
        </w:rPr>
        <w:t>Cadre général:</w:t>
      </w:r>
    </w:p>
    <w:p w:rsidR="0075739A" w:rsidRPr="001A0117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</w:p>
    <w:p w:rsidR="0075739A" w:rsidRPr="001A0117" w:rsidRDefault="0075739A" w:rsidP="00EC445E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Dans le cadre de la mise en œuvre de son projet de Fo</w:t>
      </w:r>
      <w:r w:rsidR="001A0117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nds m</w:t>
      </w:r>
      <w:r w:rsidR="00611565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ondial de lutte contre le s</w:t>
      </w: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ida, la tuberculose et le paludisme, l’Association Tunisienne de la prévention Positive (ATP+) organise durant l’année 2018, </w:t>
      </w:r>
      <w:r w:rsidR="00EC445E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2 </w:t>
      </w: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ateliers </w:t>
      </w:r>
      <w:r w:rsidR="00EC445E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de formation en Education Thérapeutique et aide à l’observance :</w:t>
      </w:r>
    </w:p>
    <w:p w:rsidR="0075739A" w:rsidRPr="001A0117" w:rsidRDefault="00EC445E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1/ Au profil des P</w:t>
      </w:r>
      <w:r w:rsidR="00DD57C5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ersonnes Vivant avec le VIH (PV</w:t>
      </w:r>
      <w:r w:rsid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VIH).</w:t>
      </w:r>
    </w:p>
    <w:p w:rsidR="00EC445E" w:rsidRPr="001A0117" w:rsidRDefault="00EC445E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2/ </w:t>
      </w:r>
      <w:r w:rsid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Au profil du personnel de santé.</w:t>
      </w:r>
    </w:p>
    <w:p w:rsidR="001A0117" w:rsidRDefault="001A0117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75739A" w:rsidRPr="001A0117" w:rsidRDefault="0075739A" w:rsidP="001A0117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C’est dans cette optique que l’ATP+ procède au recrutement de </w:t>
      </w:r>
      <w:r w:rsidR="00EC445E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01 formateur ou formatrice </w:t>
      </w: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avec une expérience avérée,</w:t>
      </w:r>
      <w:r w:rsidR="005A7788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r w:rsid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selon le processus ci-dessous.</w:t>
      </w:r>
    </w:p>
    <w:p w:rsidR="0075739A" w:rsidRPr="001A0117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</w:p>
    <w:p w:rsidR="0075739A" w:rsidRPr="001A0117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</w:t>
      </w:r>
    </w:p>
    <w:p w:rsidR="0075739A" w:rsidRPr="001A0117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  <w:r w:rsidRPr="001A0117">
        <w:rPr>
          <w:rFonts w:eastAsia="Times New Roman" w:cs="Times New Roman"/>
          <w:b/>
          <w:bCs/>
          <w:color w:val="000000"/>
          <w:sz w:val="32"/>
          <w:szCs w:val="32"/>
        </w:rPr>
        <w:t>Objectif</w:t>
      </w:r>
      <w:r w:rsidR="001A0117">
        <w:rPr>
          <w:rFonts w:eastAsia="Times New Roman" w:cs="Times New Roman"/>
          <w:b/>
          <w:bCs/>
          <w:color w:val="000000"/>
          <w:sz w:val="32"/>
          <w:szCs w:val="32"/>
        </w:rPr>
        <w:t>s</w:t>
      </w:r>
      <w:r w:rsidRPr="001A0117">
        <w:rPr>
          <w:rFonts w:eastAsia="Times New Roman" w:cs="Times New Roman"/>
          <w:b/>
          <w:bCs/>
          <w:color w:val="000000"/>
          <w:sz w:val="32"/>
          <w:szCs w:val="32"/>
        </w:rPr>
        <w:t xml:space="preserve"> de la consultation:</w:t>
      </w:r>
    </w:p>
    <w:p w:rsidR="00EC445E" w:rsidRPr="001A0117" w:rsidRDefault="0075739A" w:rsidP="00442550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</w:t>
      </w:r>
      <w:r w:rsid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ab/>
        <w:t>-</w:t>
      </w: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Former et renforcer les capacités </w:t>
      </w:r>
      <w:r w:rsidR="00442550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de populations concernées de l’association</w:t>
      </w:r>
    </w:p>
    <w:p w:rsidR="00442550" w:rsidRDefault="001A0117" w:rsidP="001A0117">
      <w:pPr>
        <w:shd w:val="clear" w:color="auto" w:fill="FFFFFF"/>
        <w:spacing w:after="0" w:line="352" w:lineRule="atLeast"/>
        <w:ind w:firstLine="708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-</w:t>
      </w:r>
      <w:r w:rsidR="00EC445E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Former et renforcer le personnel de santé </w:t>
      </w:r>
      <w:r w:rsidR="00442550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1A0117" w:rsidRPr="001A0117" w:rsidRDefault="001A0117" w:rsidP="001A0117">
      <w:pPr>
        <w:shd w:val="clear" w:color="auto" w:fill="FFFFFF"/>
        <w:spacing w:after="0" w:line="352" w:lineRule="atLeast"/>
        <w:ind w:firstLine="708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75739A" w:rsidRPr="001A0117" w:rsidRDefault="0075739A" w:rsidP="00442550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</w:t>
      </w:r>
      <w:r w:rsidRPr="001A0117">
        <w:rPr>
          <w:rFonts w:eastAsia="Times New Roman" w:cs="Times New Roman"/>
          <w:b/>
          <w:bCs/>
          <w:color w:val="000000"/>
          <w:sz w:val="32"/>
          <w:szCs w:val="32"/>
        </w:rPr>
        <w:t>Résultats attendus</w:t>
      </w:r>
    </w:p>
    <w:p w:rsidR="0075739A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Les résultats attendus au terme de la prestation sont:</w:t>
      </w:r>
    </w:p>
    <w:p w:rsidR="001A0117" w:rsidRPr="001A0117" w:rsidRDefault="001A0117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</w:p>
    <w:p w:rsidR="00EC445E" w:rsidRDefault="0075739A" w:rsidP="00EC445E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-</w:t>
      </w:r>
      <w:r w:rsid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Les participant(e)</w:t>
      </w: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s connaissent mieux les</w:t>
      </w:r>
      <w:r w:rsid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principes, les </w:t>
      </w: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composantes et l’importance </w:t>
      </w:r>
      <w:r w:rsidR="00EC445E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de l’éducation thérapeutique et </w:t>
      </w:r>
      <w:r w:rsid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de l’</w:t>
      </w:r>
      <w:r w:rsidR="00EC445E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aide à l’observance </w:t>
      </w:r>
    </w:p>
    <w:p w:rsidR="001A0117" w:rsidRPr="001A0117" w:rsidRDefault="001A0117" w:rsidP="00EC445E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75739A" w:rsidRPr="001A0117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</w:t>
      </w:r>
      <w:r w:rsidRPr="001A0117">
        <w:rPr>
          <w:rFonts w:eastAsia="Times New Roman" w:cs="Times New Roman"/>
          <w:b/>
          <w:bCs/>
          <w:color w:val="000000"/>
          <w:sz w:val="32"/>
          <w:szCs w:val="32"/>
        </w:rPr>
        <w:t>Description des tâches :</w:t>
      </w:r>
    </w:p>
    <w:p w:rsidR="001A0117" w:rsidRDefault="001A0117" w:rsidP="00EC445E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lastRenderedPageBreak/>
        <w:t> </w:t>
      </w: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ab/>
        <w:t>-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Sous la supervision du </w:t>
      </w:r>
      <w:r w:rsidR="00442550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chargé de programme 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de l’association, </w:t>
      </w: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le(a)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consultant</w:t>
      </w:r>
      <w:r w:rsidR="00EC445E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(e)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aura pour mission de</w:t>
      </w: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:</w:t>
      </w:r>
    </w:p>
    <w:p w:rsidR="001A0117" w:rsidRDefault="001A0117" w:rsidP="00EC445E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1A0117" w:rsidRDefault="001A0117" w:rsidP="00EC445E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-</w:t>
      </w:r>
      <w:r w:rsidR="0032421D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D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évelopper une note </w:t>
      </w:r>
      <w:r w:rsidR="00EC445E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conceptuelle et 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méthodologique</w:t>
      </w: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de chaque formation</w:t>
      </w:r>
    </w:p>
    <w:p w:rsidR="001A0117" w:rsidRDefault="001A0117" w:rsidP="00EC445E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-</w:t>
      </w:r>
      <w:r w:rsidR="0032421D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F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aire valider le programme de la  fo</w:t>
      </w:r>
      <w:r w:rsidR="00317D48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rmation avec l’équipe  de l’ATP+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-- </w:t>
      </w:r>
      <w:r w:rsidR="0032421D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A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dapter des supports </w:t>
      </w:r>
      <w:r w:rsidR="00442550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de formation avec ceux de l’ATP+</w:t>
      </w:r>
    </w:p>
    <w:p w:rsidR="0075739A" w:rsidRPr="001A0117" w:rsidRDefault="001A0117" w:rsidP="001A0117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-</w:t>
      </w:r>
      <w:r w:rsidR="0032421D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A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nimer </w:t>
      </w:r>
      <w:r w:rsidR="00EC445E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les deux 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session</w:t>
      </w:r>
      <w:r w:rsidR="00EC445E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s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de formatio</w:t>
      </w: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n selon le programme convenu -</w:t>
      </w:r>
      <w:r w:rsidR="0032421D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R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édiger un rap</w:t>
      </w:r>
      <w:r w:rsidR="00EC445E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port de chaque  session</w:t>
      </w:r>
      <w:r w:rsidR="0032421D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de formation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.</w:t>
      </w:r>
    </w:p>
    <w:p w:rsidR="00442550" w:rsidRPr="001A0117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</w:t>
      </w:r>
    </w:p>
    <w:p w:rsidR="0075739A" w:rsidRPr="001A0117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  <w:r w:rsidRPr="001A0117">
        <w:rPr>
          <w:rFonts w:eastAsia="Times New Roman" w:cs="Times New Roman"/>
          <w:b/>
          <w:bCs/>
          <w:color w:val="000000"/>
          <w:sz w:val="32"/>
          <w:szCs w:val="32"/>
        </w:rPr>
        <w:t>Livrables:</w:t>
      </w:r>
    </w:p>
    <w:p w:rsidR="0075739A" w:rsidRPr="001A0117" w:rsidRDefault="00EC445E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    </w:t>
      </w:r>
      <w:r w:rsid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- 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Rapport de </w:t>
      </w: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chaque 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formation</w:t>
      </w:r>
      <w:r w:rsidR="00442550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EC445E" w:rsidRDefault="001A0117" w:rsidP="001A0117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      -</w:t>
      </w:r>
      <w:r w:rsidR="00EC445E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Support de chaque formation </w:t>
      </w:r>
    </w:p>
    <w:p w:rsidR="0032421D" w:rsidRPr="001A0117" w:rsidRDefault="0032421D" w:rsidP="001A0117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      -Evaluation de chaque formation</w:t>
      </w:r>
    </w:p>
    <w:p w:rsidR="00EC445E" w:rsidRPr="001A0117" w:rsidRDefault="00EC445E" w:rsidP="00EC445E">
      <w:pPr>
        <w:pStyle w:val="Paragraphedeliste"/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</w:p>
    <w:p w:rsidR="0075739A" w:rsidRPr="001A0117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</w:t>
      </w:r>
      <w:r w:rsidRPr="001A0117">
        <w:rPr>
          <w:rFonts w:eastAsia="Times New Roman" w:cs="Times New Roman"/>
          <w:b/>
          <w:bCs/>
          <w:color w:val="000000"/>
          <w:sz w:val="32"/>
          <w:szCs w:val="32"/>
        </w:rPr>
        <w:t>Profil des consultants:</w:t>
      </w:r>
    </w:p>
    <w:p w:rsidR="0032421D" w:rsidRPr="0032421D" w:rsidRDefault="0032421D" w:rsidP="0032421D">
      <w:pPr>
        <w:pStyle w:val="Paragraphedeliste"/>
        <w:numPr>
          <w:ilvl w:val="0"/>
          <w:numId w:val="5"/>
        </w:num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 w:rsidRPr="0032421D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Formation universitaire en sciences médicales ou santé publique</w:t>
      </w:r>
    </w:p>
    <w:p w:rsidR="0032421D" w:rsidRPr="0032421D" w:rsidRDefault="0032421D" w:rsidP="0032421D">
      <w:pPr>
        <w:numPr>
          <w:ilvl w:val="0"/>
          <w:numId w:val="5"/>
        </w:numPr>
        <w:spacing w:after="0"/>
        <w:ind w:right="-567"/>
        <w:jc w:val="both"/>
        <w:rPr>
          <w:sz w:val="32"/>
          <w:szCs w:val="32"/>
        </w:rPr>
      </w:pPr>
      <w:r w:rsidRPr="0032421D">
        <w:rPr>
          <w:sz w:val="32"/>
          <w:szCs w:val="32"/>
        </w:rPr>
        <w:t>Expertise en matière d’infection à VIH/SIDA et d’éducation thérapeutique.</w:t>
      </w:r>
    </w:p>
    <w:p w:rsidR="0032421D" w:rsidRDefault="0032421D" w:rsidP="0032421D">
      <w:pPr>
        <w:numPr>
          <w:ilvl w:val="0"/>
          <w:numId w:val="5"/>
        </w:numPr>
        <w:spacing w:after="0"/>
        <w:ind w:right="-567"/>
        <w:jc w:val="both"/>
        <w:rPr>
          <w:sz w:val="32"/>
          <w:szCs w:val="32"/>
        </w:rPr>
      </w:pPr>
      <w:r w:rsidRPr="0032421D">
        <w:rPr>
          <w:sz w:val="32"/>
          <w:szCs w:val="32"/>
        </w:rPr>
        <w:t>Très bonne connaissance des services de prévention et de prise en charge du VIH en Tunisie.</w:t>
      </w:r>
    </w:p>
    <w:p w:rsidR="0032421D" w:rsidRPr="006428F8" w:rsidRDefault="0032421D" w:rsidP="0032421D">
      <w:pPr>
        <w:numPr>
          <w:ilvl w:val="0"/>
          <w:numId w:val="5"/>
        </w:numPr>
        <w:spacing w:after="0"/>
        <w:ind w:right="-567"/>
        <w:jc w:val="both"/>
        <w:rPr>
          <w:sz w:val="28"/>
          <w:szCs w:val="28"/>
        </w:rPr>
      </w:pPr>
      <w:r w:rsidRPr="00E91753">
        <w:rPr>
          <w:sz w:val="28"/>
          <w:szCs w:val="28"/>
        </w:rPr>
        <w:t>Expérience dans la rédaction des rapports et l’animation des ateliers.</w:t>
      </w:r>
    </w:p>
    <w:p w:rsidR="0032421D" w:rsidRPr="006428F8" w:rsidRDefault="0032421D" w:rsidP="0032421D">
      <w:pPr>
        <w:numPr>
          <w:ilvl w:val="0"/>
          <w:numId w:val="5"/>
        </w:numPr>
        <w:spacing w:after="0"/>
        <w:ind w:right="-567"/>
        <w:jc w:val="both"/>
        <w:rPr>
          <w:sz w:val="28"/>
          <w:szCs w:val="28"/>
        </w:rPr>
      </w:pPr>
      <w:r w:rsidRPr="00E91753">
        <w:rPr>
          <w:sz w:val="28"/>
          <w:szCs w:val="28"/>
        </w:rPr>
        <w:t>Compétences en matière de communication et de gestion des groupes</w:t>
      </w:r>
    </w:p>
    <w:p w:rsidR="0032421D" w:rsidRPr="006428F8" w:rsidRDefault="0032421D" w:rsidP="0032421D">
      <w:pPr>
        <w:numPr>
          <w:ilvl w:val="0"/>
          <w:numId w:val="5"/>
        </w:numPr>
        <w:spacing w:after="0"/>
        <w:ind w:right="-567"/>
        <w:jc w:val="both"/>
        <w:rPr>
          <w:sz w:val="28"/>
          <w:szCs w:val="28"/>
        </w:rPr>
      </w:pPr>
      <w:r w:rsidRPr="00E91753">
        <w:rPr>
          <w:sz w:val="28"/>
          <w:szCs w:val="28"/>
        </w:rPr>
        <w:t>Maitrise de l’outil in</w:t>
      </w:r>
      <w:r w:rsidRPr="006428F8">
        <w:rPr>
          <w:sz w:val="28"/>
          <w:szCs w:val="28"/>
        </w:rPr>
        <w:t xml:space="preserve">formatique (Word, power point) et </w:t>
      </w:r>
      <w:r w:rsidRPr="00E91753">
        <w:rPr>
          <w:sz w:val="28"/>
          <w:szCs w:val="28"/>
        </w:rPr>
        <w:t>des langues arabe, française.</w:t>
      </w:r>
    </w:p>
    <w:p w:rsidR="0032421D" w:rsidRDefault="0032421D" w:rsidP="0032421D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75739A" w:rsidRPr="001A0117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</w:t>
      </w:r>
      <w:r w:rsidRPr="001A0117">
        <w:rPr>
          <w:rFonts w:eastAsia="Times New Roman" w:cs="Times New Roman"/>
          <w:b/>
          <w:bCs/>
          <w:color w:val="000000"/>
          <w:sz w:val="32"/>
          <w:szCs w:val="32"/>
        </w:rPr>
        <w:t>Lieu et durée de travail:</w:t>
      </w: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</w:t>
      </w:r>
    </w:p>
    <w:p w:rsidR="0075739A" w:rsidRPr="001A0117" w:rsidRDefault="0075739A" w:rsidP="00D85648">
      <w:pPr>
        <w:numPr>
          <w:ilvl w:val="0"/>
          <w:numId w:val="1"/>
        </w:numPr>
        <w:shd w:val="clear" w:color="auto" w:fill="FFFFFF"/>
        <w:spacing w:after="0" w:line="301" w:lineRule="atLeast"/>
        <w:ind w:left="0"/>
        <w:textAlignment w:val="baseline"/>
        <w:rPr>
          <w:rFonts w:eastAsia="Times New Roman" w:cs="Times New Roman"/>
          <w:color w:val="666666"/>
          <w:sz w:val="32"/>
          <w:szCs w:val="32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Les </w:t>
      </w:r>
      <w:r w:rsidR="00D85648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2 ateliers de formation</w:t>
      </w: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se tiendront </w:t>
      </w:r>
      <w:r w:rsidR="00D85648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dans un hôtel</w:t>
      </w:r>
      <w:r w:rsidR="0032421D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dont le nom sera communiqué ultérieurement </w:t>
      </w:r>
    </w:p>
    <w:p w:rsidR="00442550" w:rsidRPr="001A0117" w:rsidRDefault="00442550" w:rsidP="00442550">
      <w:pPr>
        <w:shd w:val="clear" w:color="auto" w:fill="FFFFFF"/>
        <w:spacing w:after="0" w:line="301" w:lineRule="atLeast"/>
        <w:textAlignment w:val="baseline"/>
        <w:rPr>
          <w:rFonts w:eastAsia="Times New Roman" w:cs="Times New Roman"/>
          <w:color w:val="666666"/>
          <w:sz w:val="32"/>
          <w:szCs w:val="32"/>
        </w:rPr>
      </w:pPr>
    </w:p>
    <w:p w:rsidR="00442550" w:rsidRPr="001A0117" w:rsidRDefault="00442550" w:rsidP="00442550">
      <w:pPr>
        <w:numPr>
          <w:ilvl w:val="0"/>
          <w:numId w:val="1"/>
        </w:numPr>
        <w:shd w:val="clear" w:color="auto" w:fill="FFFFFF"/>
        <w:spacing w:after="0" w:line="301" w:lineRule="atLeast"/>
        <w:ind w:left="0"/>
        <w:textAlignment w:val="baseline"/>
        <w:rPr>
          <w:rFonts w:eastAsia="Times New Roman" w:cs="Times New Roman"/>
          <w:color w:val="666666"/>
          <w:sz w:val="32"/>
          <w:szCs w:val="32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Dates</w:t>
      </w:r>
      <w:r w:rsidR="0032421D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préliminaires des formations 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:</w:t>
      </w:r>
    </w:p>
    <w:p w:rsidR="00D85648" w:rsidRPr="001A0117" w:rsidRDefault="0075739A" w:rsidP="00442550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-    </w:t>
      </w:r>
      <w:r w:rsidR="0032421D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Première session : 6-</w:t>
      </w:r>
      <w:r w:rsidR="00D85648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7 septembre 2018</w:t>
      </w:r>
    </w:p>
    <w:p w:rsidR="0032421D" w:rsidRDefault="00D85648" w:rsidP="00442550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lastRenderedPageBreak/>
        <w:t xml:space="preserve">-    </w:t>
      </w:r>
      <w:r w:rsidR="0032421D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Deuxième session: 8-</w:t>
      </w:r>
      <w:r w:rsid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9 septembre 2018</w:t>
      </w:r>
      <w:r w:rsidR="0075739A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  </w:t>
      </w:r>
    </w:p>
    <w:p w:rsidR="00D85648" w:rsidRPr="001A0117" w:rsidRDefault="0075739A" w:rsidP="00442550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 </w:t>
      </w:r>
    </w:p>
    <w:p w:rsidR="0032421D" w:rsidRDefault="0032421D" w:rsidP="0032421D">
      <w:pPr>
        <w:shd w:val="clear" w:color="auto" w:fill="FFFFFF"/>
        <w:spacing w:after="0" w:line="352" w:lineRule="atLeast"/>
        <w:jc w:val="both"/>
        <w:textAlignment w:val="baseline"/>
        <w:outlineLvl w:val="0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Nombre de jours de travail : 6 jours.</w:t>
      </w:r>
    </w:p>
    <w:p w:rsidR="006A3DDB" w:rsidRDefault="006A3DDB" w:rsidP="0032421D">
      <w:pPr>
        <w:shd w:val="clear" w:color="auto" w:fill="FFFFFF"/>
        <w:spacing w:after="0" w:line="352" w:lineRule="atLeast"/>
        <w:jc w:val="both"/>
        <w:textAlignment w:val="baseline"/>
        <w:outlineLvl w:val="0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32421D" w:rsidRDefault="0032421D" w:rsidP="0032421D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En général, le nombre de jours de travail correspond aux 4 jours de la formation + 1 jour de préparation du support de la formation + 1 jour de rédaction des rapports soit au total 6 jours.</w:t>
      </w:r>
      <w:r w:rsidRPr="0075739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75739A" w:rsidRPr="001A0117" w:rsidRDefault="0075739A" w:rsidP="00442550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</w:p>
    <w:p w:rsidR="0075739A" w:rsidRPr="001A0117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 </w:t>
      </w:r>
      <w:r w:rsidRPr="001A0117">
        <w:rPr>
          <w:rFonts w:eastAsia="Times New Roman" w:cs="Times New Roman"/>
          <w:b/>
          <w:bCs/>
          <w:color w:val="000000"/>
          <w:sz w:val="32"/>
          <w:szCs w:val="32"/>
        </w:rPr>
        <w:t>Modalité de payement:</w:t>
      </w:r>
    </w:p>
    <w:p w:rsidR="0075739A" w:rsidRDefault="0075739A" w:rsidP="00C34F6F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</w:pPr>
      <w:r w:rsidRPr="001A0117">
        <w:rPr>
          <w:rFonts w:eastAsia="Times New Roman" w:cs="Times New Roman"/>
          <w:b/>
          <w:bCs/>
          <w:color w:val="000000"/>
          <w:sz w:val="32"/>
          <w:szCs w:val="32"/>
        </w:rPr>
        <w:t> </w:t>
      </w: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A l’issue du trav</w:t>
      </w:r>
      <w:r w:rsidR="00C34F6F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ail demandé et de la remise des deux </w:t>
      </w: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rappor</w:t>
      </w:r>
      <w:r w:rsidR="00442550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t</w:t>
      </w:r>
      <w:r w:rsidR="00C34F6F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s</w:t>
      </w:r>
      <w:r w:rsidR="00442550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qui </w:t>
      </w:r>
      <w:r w:rsidR="00C34F6F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seront</w:t>
      </w:r>
      <w:r w:rsidR="00442550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validé</w:t>
      </w:r>
      <w:r w:rsidR="00C34F6F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s</w:t>
      </w:r>
      <w:r w:rsidR="00442550"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 xml:space="preserve"> par l’ATP+</w:t>
      </w:r>
      <w:r w:rsidRPr="001A0117">
        <w:rPr>
          <w:rFonts w:eastAsia="Times New Roman" w:cs="Times New Roman"/>
          <w:color w:val="000000"/>
          <w:sz w:val="32"/>
          <w:szCs w:val="32"/>
          <w:bdr w:val="none" w:sz="0" w:space="0" w:color="auto" w:frame="1"/>
        </w:rPr>
        <w:t>, le consultant percevra 100% des honoraires en Dinars Tunisiens.</w:t>
      </w:r>
    </w:p>
    <w:p w:rsidR="00C34F6F" w:rsidRPr="001A0117" w:rsidRDefault="00C34F6F" w:rsidP="00C34F6F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color w:val="666666"/>
          <w:sz w:val="32"/>
          <w:szCs w:val="32"/>
        </w:rPr>
      </w:pPr>
    </w:p>
    <w:p w:rsidR="0075739A" w:rsidRPr="00C34F6F" w:rsidRDefault="00C34F6F" w:rsidP="00C34F6F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b/>
          <w:bCs/>
          <w:color w:val="666666"/>
          <w:sz w:val="32"/>
          <w:szCs w:val="32"/>
        </w:rPr>
      </w:pPr>
      <w:r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Pour postuler à cette consultation les candidat(e)s doivent </w:t>
      </w:r>
      <w:r w:rsidR="0075739A"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envoye</w:t>
      </w:r>
      <w:r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r un CV et une note méthodologique </w:t>
      </w:r>
      <w:r w:rsidR="0075739A"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à l’adresse suivante: </w:t>
      </w:r>
      <w:r w:rsidR="00E73290"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atpplusappelacandidature@gmail.com</w:t>
      </w:r>
      <w:r w:rsidR="0075739A"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 , avec comme objet </w:t>
      </w:r>
      <w:r w:rsidR="00635B72"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réponse à l’appel à candidature pour le poste d’un consultant en Education Thérapeutique et Aide à l’observance </w:t>
      </w:r>
    </w:p>
    <w:p w:rsidR="0075739A" w:rsidRPr="00C34F6F" w:rsidRDefault="00C34F6F" w:rsidP="00635B72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b/>
          <w:bCs/>
          <w:color w:val="666666"/>
          <w:sz w:val="32"/>
          <w:szCs w:val="32"/>
        </w:rPr>
      </w:pPr>
      <w:r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le d</w:t>
      </w:r>
      <w:r w:rsidR="0075739A"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ernier d</w:t>
      </w:r>
      <w:r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élai de dépôt des candidatures est le </w:t>
      </w:r>
      <w:r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24</w:t>
      </w:r>
      <w:r w:rsidR="00635B72"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juillet </w:t>
      </w:r>
      <w:r w:rsidR="0075739A"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201</w:t>
      </w:r>
      <w:r w:rsidR="00E73290"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8</w:t>
      </w:r>
      <w:r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.</w:t>
      </w:r>
    </w:p>
    <w:p w:rsidR="0075739A" w:rsidRPr="00C34F6F" w:rsidRDefault="00C34F6F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b/>
          <w:bCs/>
          <w:color w:val="666666"/>
          <w:sz w:val="32"/>
          <w:szCs w:val="32"/>
        </w:rPr>
      </w:pPr>
      <w:r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 Seul(e) le candidat(e) sélectionné (e) sera contacté (e)</w:t>
      </w:r>
      <w:r w:rsidR="0075739A"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.</w:t>
      </w:r>
    </w:p>
    <w:p w:rsidR="0075739A" w:rsidRPr="00C34F6F" w:rsidRDefault="0075739A" w:rsidP="0075739A">
      <w:pPr>
        <w:shd w:val="clear" w:color="auto" w:fill="FFFFFF"/>
        <w:spacing w:after="0" w:line="352" w:lineRule="atLeast"/>
        <w:jc w:val="both"/>
        <w:textAlignment w:val="baseline"/>
        <w:rPr>
          <w:rFonts w:eastAsia="Times New Roman" w:cs="Times New Roman"/>
          <w:b/>
          <w:bCs/>
          <w:color w:val="666666"/>
          <w:sz w:val="32"/>
          <w:szCs w:val="32"/>
        </w:rPr>
      </w:pPr>
      <w:r w:rsidRPr="00C34F6F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 </w:t>
      </w:r>
    </w:p>
    <w:p w:rsidR="00B02D6F" w:rsidRPr="00C34F6F" w:rsidRDefault="00B02D6F">
      <w:pPr>
        <w:rPr>
          <w:b/>
          <w:bCs/>
          <w:sz w:val="32"/>
          <w:szCs w:val="32"/>
        </w:rPr>
      </w:pPr>
    </w:p>
    <w:sectPr w:rsidR="00B02D6F" w:rsidRPr="00C34F6F" w:rsidSect="008219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855" w:rsidRDefault="00C96855" w:rsidP="00EC445E">
      <w:pPr>
        <w:spacing w:after="0" w:line="240" w:lineRule="auto"/>
      </w:pPr>
      <w:r>
        <w:separator/>
      </w:r>
    </w:p>
  </w:endnote>
  <w:endnote w:type="continuationSeparator" w:id="0">
    <w:p w:rsidR="00C96855" w:rsidRDefault="00C96855" w:rsidP="00EC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855" w:rsidRDefault="00C96855" w:rsidP="00EC445E">
      <w:pPr>
        <w:spacing w:after="0" w:line="240" w:lineRule="auto"/>
      </w:pPr>
      <w:r>
        <w:separator/>
      </w:r>
    </w:p>
  </w:footnote>
  <w:footnote w:type="continuationSeparator" w:id="0">
    <w:p w:rsidR="00C96855" w:rsidRDefault="00C96855" w:rsidP="00EC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5E" w:rsidRDefault="00EC445E" w:rsidP="00EC445E">
    <w:pPr>
      <w:shd w:val="clear" w:color="auto" w:fill="FFFFFF"/>
      <w:spacing w:after="0" w:line="352" w:lineRule="atLeast"/>
      <w:jc w:val="both"/>
      <w:textAlignment w:val="baseline"/>
      <w:rPr>
        <w:rFonts w:ascii="Times New Roman" w:eastAsia="Times New Roman" w:hAnsi="Times New Roman" w:cs="Times New Roman"/>
        <w:b/>
        <w:bCs/>
        <w:color w:val="000000"/>
        <w:sz w:val="27"/>
      </w:rPr>
    </w:pPr>
    <w:r>
      <w:rPr>
        <w:noProof/>
      </w:rPr>
      <w:drawing>
        <wp:inline distT="0" distB="0" distL="0" distR="0">
          <wp:extent cx="977900" cy="712470"/>
          <wp:effectExtent l="19050" t="0" r="0" b="0"/>
          <wp:docPr id="3" name="Image 3" descr="C:\Users\ONFP\Desktop\ATP+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NFP\Desktop\ATP+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color w:val="000000"/>
        <w:sz w:val="27"/>
      </w:rPr>
      <w:t xml:space="preserve">    A 183 PA18</w:t>
    </w:r>
  </w:p>
  <w:p w:rsidR="00EC445E" w:rsidRDefault="00EC44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F431A"/>
    <w:multiLevelType w:val="multilevel"/>
    <w:tmpl w:val="C034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8B6580"/>
    <w:multiLevelType w:val="hybridMultilevel"/>
    <w:tmpl w:val="5E2061E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61B22"/>
    <w:multiLevelType w:val="hybridMultilevel"/>
    <w:tmpl w:val="52A4D51A"/>
    <w:lvl w:ilvl="0" w:tplc="15CA2650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9E87C49"/>
    <w:multiLevelType w:val="hybridMultilevel"/>
    <w:tmpl w:val="3C9A5372"/>
    <w:lvl w:ilvl="0" w:tplc="8E76B2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11511"/>
    <w:multiLevelType w:val="hybridMultilevel"/>
    <w:tmpl w:val="5D3AEE48"/>
    <w:lvl w:ilvl="0" w:tplc="02141E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9A"/>
    <w:rsid w:val="00083569"/>
    <w:rsid w:val="000F77C9"/>
    <w:rsid w:val="001A0117"/>
    <w:rsid w:val="001C2E5A"/>
    <w:rsid w:val="001D56DD"/>
    <w:rsid w:val="002B5164"/>
    <w:rsid w:val="003111A4"/>
    <w:rsid w:val="00317D48"/>
    <w:rsid w:val="0032421D"/>
    <w:rsid w:val="003915BF"/>
    <w:rsid w:val="00442550"/>
    <w:rsid w:val="00460D2F"/>
    <w:rsid w:val="004F6DDE"/>
    <w:rsid w:val="0050135E"/>
    <w:rsid w:val="00593BB9"/>
    <w:rsid w:val="005A7788"/>
    <w:rsid w:val="00611565"/>
    <w:rsid w:val="00635B72"/>
    <w:rsid w:val="006A3DDB"/>
    <w:rsid w:val="0075739A"/>
    <w:rsid w:val="00806CC1"/>
    <w:rsid w:val="0082190A"/>
    <w:rsid w:val="009441D9"/>
    <w:rsid w:val="00B02D6F"/>
    <w:rsid w:val="00B634A9"/>
    <w:rsid w:val="00C34F6F"/>
    <w:rsid w:val="00C56804"/>
    <w:rsid w:val="00C96855"/>
    <w:rsid w:val="00CE5E6C"/>
    <w:rsid w:val="00D11617"/>
    <w:rsid w:val="00D50EBF"/>
    <w:rsid w:val="00D85648"/>
    <w:rsid w:val="00DD57C5"/>
    <w:rsid w:val="00DF108B"/>
    <w:rsid w:val="00E716A6"/>
    <w:rsid w:val="00E73290"/>
    <w:rsid w:val="00EC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7AC48-E6E0-4847-9D0B-3CF4CC96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5739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5739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425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C4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445E"/>
  </w:style>
  <w:style w:type="paragraph" w:styleId="Pieddepage">
    <w:name w:val="footer"/>
    <w:basedOn w:val="Normal"/>
    <w:link w:val="PieddepageCar"/>
    <w:uiPriority w:val="99"/>
    <w:semiHidden/>
    <w:unhideWhenUsed/>
    <w:rsid w:val="00EC4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445E"/>
  </w:style>
  <w:style w:type="paragraph" w:styleId="Textedebulles">
    <w:name w:val="Balloon Text"/>
    <w:basedOn w:val="Normal"/>
    <w:link w:val="TextedebullesCar"/>
    <w:uiPriority w:val="99"/>
    <w:semiHidden/>
    <w:unhideWhenUsed/>
    <w:rsid w:val="00EC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ONFP</dc:creator>
  <cp:lastModifiedBy>toshiba</cp:lastModifiedBy>
  <cp:revision>2</cp:revision>
  <dcterms:created xsi:type="dcterms:W3CDTF">2018-07-16T09:18:00Z</dcterms:created>
  <dcterms:modified xsi:type="dcterms:W3CDTF">2018-07-16T09:18:00Z</dcterms:modified>
</cp:coreProperties>
</file>